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C5" w:rsidRDefault="007758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0" w:type="auto"/>
        <w:tblInd w:w="-5" w:type="dxa"/>
        <w:tblLook w:val="0000"/>
      </w:tblPr>
      <w:tblGrid>
        <w:gridCol w:w="534"/>
        <w:gridCol w:w="5670"/>
        <w:gridCol w:w="283"/>
        <w:gridCol w:w="2752"/>
      </w:tblGrid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8D4A38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  <w:r w:rsidR="008D4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>
              <w:rPr>
                <w:rFonts w:asciiTheme="minorHAnsi" w:hAnsiTheme="minorHAnsi"/>
                <w:b/>
                <w:sz w:val="24"/>
                <w:szCs w:val="24"/>
              </w:rPr>
              <w:t>Postępowanie karne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8D4A38" w:rsidRDefault="0077585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  <w:r w:rsidR="008D4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4A38">
              <w:rPr>
                <w:rFonts w:asciiTheme="minorHAnsi" w:hAnsiTheme="minorHAnsi"/>
                <w:b/>
                <w:sz w:val="24"/>
                <w:szCs w:val="24"/>
              </w:rPr>
              <w:t>Criminal</w:t>
            </w:r>
            <w:proofErr w:type="spellEnd"/>
            <w:r w:rsidR="008D4A3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D4A38">
              <w:rPr>
                <w:rFonts w:asciiTheme="minorHAnsi" w:hAnsiTheme="minorHAnsi"/>
                <w:b/>
                <w:sz w:val="24"/>
                <w:szCs w:val="24"/>
              </w:rPr>
              <w:t>Proce</w:t>
            </w:r>
            <w:r w:rsidR="005A5833">
              <w:rPr>
                <w:rFonts w:asciiTheme="minorHAnsi" w:hAnsiTheme="minorHAnsi"/>
                <w:b/>
                <w:sz w:val="24"/>
                <w:szCs w:val="24"/>
              </w:rPr>
              <w:t>dure</w:t>
            </w:r>
            <w:proofErr w:type="spellEnd"/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8D4A38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  <w:r w:rsidR="008D4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 w:rsidRPr="008D4A38">
              <w:rPr>
                <w:rFonts w:asciiTheme="minorHAnsi" w:hAnsiTheme="minorHAnsi"/>
                <w:b/>
                <w:sz w:val="24"/>
                <w:szCs w:val="24"/>
              </w:rPr>
              <w:t>Katedra Postępowania Karnego, Wydział Prawa, Administracji i Ekonomii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:rsidR="009741C5" w:rsidRPr="00A320A5" w:rsidRDefault="00D9735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SN</w:t>
            </w:r>
            <w:r w:rsidR="00A320A5" w:rsidRPr="00A320A5">
              <w:rPr>
                <w:rFonts w:asciiTheme="minorHAnsi" w:hAnsiTheme="minorHAnsi"/>
                <w:b/>
                <w:sz w:val="24"/>
                <w:szCs w:val="24"/>
              </w:rPr>
              <w:t>P_...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  <w:r w:rsidR="008D4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 w:rsidRPr="008D4A38">
              <w:rPr>
                <w:rFonts w:asciiTheme="minorHAnsi" w:hAnsiTheme="minorHAnsi"/>
                <w:b/>
                <w:sz w:val="24"/>
                <w:szCs w:val="24"/>
              </w:rPr>
              <w:t>obligatoryjny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8D4A38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  <w:r w:rsidR="008D4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>
              <w:rPr>
                <w:rFonts w:asciiTheme="minorHAnsi" w:hAnsiTheme="minorHAnsi"/>
                <w:b/>
                <w:sz w:val="24"/>
                <w:szCs w:val="24"/>
              </w:rPr>
              <w:t xml:space="preserve">studia prawa 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  <w:r w:rsidR="008D4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891">
              <w:rPr>
                <w:rFonts w:ascii="Times New Roman" w:hAnsi="Times New Roman"/>
                <w:b/>
                <w:sz w:val="24"/>
                <w:szCs w:val="24"/>
              </w:rPr>
              <w:t xml:space="preserve">studia 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>jednolite magisterskie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  <w:r w:rsidR="008D4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 w:rsidRPr="008D4A38">
              <w:rPr>
                <w:rFonts w:asciiTheme="minorHAnsi" w:hAnsiTheme="minorHAnsi"/>
                <w:b/>
                <w:sz w:val="24"/>
                <w:szCs w:val="24"/>
              </w:rPr>
              <w:t>III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8D4A38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  <w:r w:rsidR="008D4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A38">
              <w:rPr>
                <w:rFonts w:asciiTheme="minorHAnsi" w:hAnsiTheme="minorHAnsi"/>
                <w:b/>
                <w:sz w:val="24"/>
                <w:szCs w:val="24"/>
              </w:rPr>
              <w:t>V, VI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D27CE3" w:rsidRDefault="007758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  <w:r w:rsidR="008D4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1885">
              <w:rPr>
                <w:rFonts w:asciiTheme="minorHAnsi" w:hAnsiTheme="minorHAnsi"/>
                <w:b/>
                <w:sz w:val="24"/>
                <w:szCs w:val="24"/>
              </w:rPr>
              <w:t>72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 godzin</w:t>
            </w:r>
            <w:r w:rsidR="00DC1885">
              <w:rPr>
                <w:rFonts w:asciiTheme="minorHAnsi" w:hAnsiTheme="minorHAnsi"/>
                <w:b/>
                <w:sz w:val="24"/>
                <w:szCs w:val="24"/>
              </w:rPr>
              <w:t>y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, w tym: </w:t>
            </w:r>
            <w:r w:rsidR="00613F46">
              <w:rPr>
                <w:rFonts w:asciiTheme="minorHAnsi" w:hAnsiTheme="minorHAnsi"/>
                <w:b/>
                <w:sz w:val="24"/>
                <w:szCs w:val="24"/>
              </w:rPr>
              <w:t>wykład (40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 godzin) </w:t>
            </w:r>
            <w:r w:rsidR="00613F46">
              <w:rPr>
                <w:rFonts w:asciiTheme="minorHAnsi" w:hAnsiTheme="minorHAnsi"/>
                <w:b/>
                <w:sz w:val="24"/>
                <w:szCs w:val="24"/>
              </w:rPr>
              <w:t>i konwersatoria (32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 godzin</w:t>
            </w:r>
            <w:r w:rsidR="00613F46">
              <w:rPr>
                <w:rFonts w:asciiTheme="minorHAnsi" w:hAnsiTheme="minorHAnsi"/>
                <w:b/>
                <w:sz w:val="24"/>
                <w:szCs w:val="24"/>
              </w:rPr>
              <w:t>y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9741C5" w:rsidRDefault="0097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 w:rsidP="006F6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  <w:r w:rsidR="00D27CE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9735A">
              <w:rPr>
                <w:rFonts w:asciiTheme="minorHAnsi" w:hAnsiTheme="minorHAnsi"/>
                <w:b/>
                <w:sz w:val="24"/>
                <w:szCs w:val="24"/>
              </w:rPr>
              <w:t xml:space="preserve">dr Dagmara Gruszecka </w:t>
            </w:r>
            <w:r w:rsidR="00D27CE3">
              <w:rPr>
                <w:rFonts w:asciiTheme="minorHAnsi" w:hAnsiTheme="minorHAnsi"/>
                <w:b/>
                <w:sz w:val="24"/>
                <w:szCs w:val="24"/>
              </w:rPr>
              <w:t xml:space="preserve">(wykład), konwersatoria: </w:t>
            </w:r>
            <w:r w:rsidR="006F6720" w:rsidRPr="006F6720">
              <w:rPr>
                <w:rFonts w:asciiTheme="minorHAnsi" w:hAnsiTheme="minorHAnsi"/>
                <w:b/>
                <w:sz w:val="24"/>
                <w:szCs w:val="24"/>
              </w:rPr>
              <w:t xml:space="preserve">mgr Dominika Czerniak, mgr Agnieszka </w:t>
            </w:r>
            <w:proofErr w:type="spellStart"/>
            <w:r w:rsidR="006F6720" w:rsidRPr="006F6720">
              <w:rPr>
                <w:rFonts w:asciiTheme="minorHAnsi" w:hAnsiTheme="minorHAnsi"/>
                <w:b/>
                <w:sz w:val="24"/>
                <w:szCs w:val="24"/>
              </w:rPr>
              <w:t>Miczkowska</w:t>
            </w:r>
            <w:proofErr w:type="spellEnd"/>
            <w:r w:rsidR="006F6720" w:rsidRPr="006F6720">
              <w:rPr>
                <w:rFonts w:asciiTheme="minorHAnsi" w:hAnsiTheme="minorHAnsi"/>
                <w:b/>
                <w:sz w:val="24"/>
                <w:szCs w:val="24"/>
              </w:rPr>
              <w:t xml:space="preserve">, mgr Artur Mikołajewicz, </w:t>
            </w:r>
            <w:r w:rsidR="0047535F" w:rsidRPr="006F6720">
              <w:rPr>
                <w:rFonts w:asciiTheme="minorHAnsi" w:hAnsiTheme="minorHAnsi"/>
                <w:b/>
                <w:sz w:val="24"/>
                <w:szCs w:val="24"/>
              </w:rPr>
              <w:t>mgr Jaro</w:t>
            </w:r>
            <w:r w:rsidR="006F6720" w:rsidRPr="006F6720">
              <w:rPr>
                <w:rFonts w:asciiTheme="minorHAnsi" w:hAnsiTheme="minorHAnsi"/>
                <w:b/>
                <w:sz w:val="24"/>
                <w:szCs w:val="24"/>
              </w:rPr>
              <w:t>sław Sypko, mgr Szymon Bogdański</w:t>
            </w:r>
            <w:r w:rsidR="009E5787" w:rsidRPr="006F6720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D27CE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D27CE3" w:rsidRPr="00D27CE3" w:rsidRDefault="00D27CE3" w:rsidP="00D27CE3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27CE3">
              <w:rPr>
                <w:rFonts w:asciiTheme="minorHAnsi" w:hAnsiTheme="minorHAnsi"/>
                <w:b/>
                <w:sz w:val="24"/>
                <w:szCs w:val="24"/>
              </w:rPr>
              <w:t>Umiejętność logicznego myślenia, podstawowa wiedza o zasadach stosowania przepisów 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rawa</w:t>
            </w:r>
            <w:r w:rsidR="00CB4BF3">
              <w:rPr>
                <w:rFonts w:asciiTheme="minorHAnsi" w:hAnsiTheme="minorHAnsi"/>
                <w:b/>
                <w:sz w:val="24"/>
                <w:szCs w:val="24"/>
              </w:rPr>
              <w:t>, wiedza z zakresu prawa karnego materialnego.</w:t>
            </w:r>
          </w:p>
          <w:p w:rsidR="009741C5" w:rsidRDefault="009741C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CE3" w:rsidRDefault="00775859" w:rsidP="00D27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  <w:r w:rsidR="00D27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7CE3" w:rsidRDefault="00D27CE3" w:rsidP="00D27CE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1.Student nabywa wiedzę o strukturze i </w:t>
            </w:r>
            <w:r w:rsidR="00642891">
              <w:rPr>
                <w:rFonts w:asciiTheme="minorHAnsi" w:hAnsiTheme="minorHAnsi"/>
                <w:b/>
                <w:sz w:val="24"/>
                <w:szCs w:val="24"/>
              </w:rPr>
              <w:t>przebiegu postępowania karnego oraz charakterystyce jego instytucji</w:t>
            </w:r>
            <w:r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</w:p>
          <w:p w:rsidR="00642891" w:rsidRPr="00D27CE3" w:rsidRDefault="00642891" w:rsidP="00D27CE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2.Student nabywa wiedzę o uprawnieniach i obowiązkach uczestników postępowania karnego</w:t>
            </w:r>
            <w:r w:rsidR="00962891">
              <w:rPr>
                <w:rFonts w:asciiTheme="minorHAnsi" w:hAnsiTheme="minorHAnsi"/>
                <w:b/>
                <w:sz w:val="24"/>
                <w:szCs w:val="24"/>
              </w:rPr>
              <w:t>, ich roli procesowej i roli społecznej.</w:t>
            </w:r>
          </w:p>
          <w:p w:rsidR="00D27CE3" w:rsidRDefault="00CB4BF3" w:rsidP="00D27CE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. Student zapoznaje się z treścią kodeksu </w:t>
            </w:r>
            <w:r w:rsidR="00642891">
              <w:rPr>
                <w:rFonts w:asciiTheme="minorHAnsi" w:hAnsiTheme="minorHAnsi"/>
                <w:b/>
                <w:sz w:val="24"/>
                <w:szCs w:val="24"/>
              </w:rPr>
              <w:t>postępowania karnego</w:t>
            </w:r>
            <w:r w:rsidR="007D6FF5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="00962891">
              <w:rPr>
                <w:rFonts w:asciiTheme="minorHAnsi" w:hAnsiTheme="minorHAnsi"/>
                <w:b/>
                <w:sz w:val="24"/>
                <w:szCs w:val="24"/>
              </w:rPr>
              <w:t xml:space="preserve">pozostałych </w:t>
            </w:r>
            <w:r w:rsidR="007D6FF5">
              <w:rPr>
                <w:rFonts w:asciiTheme="minorHAnsi" w:hAnsiTheme="minorHAnsi"/>
                <w:b/>
                <w:sz w:val="24"/>
                <w:szCs w:val="24"/>
              </w:rPr>
              <w:t>ustaw regulujących</w:t>
            </w:r>
            <w:r w:rsidR="00962891">
              <w:rPr>
                <w:rFonts w:asciiTheme="minorHAnsi" w:hAnsiTheme="minorHAnsi"/>
                <w:b/>
                <w:sz w:val="24"/>
                <w:szCs w:val="24"/>
              </w:rPr>
              <w:t xml:space="preserve"> najważniejsze kwestie proceduralne</w:t>
            </w:r>
            <w:r w:rsidR="007D6FF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4289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>i umie odnaleźć przepisy</w:t>
            </w:r>
            <w:r w:rsidR="00962891">
              <w:rPr>
                <w:rFonts w:asciiTheme="minorHAnsi" w:hAnsiTheme="minorHAnsi"/>
                <w:b/>
                <w:sz w:val="24"/>
                <w:szCs w:val="24"/>
              </w:rPr>
              <w:t xml:space="preserve"> mające zastosowanie w danej sytuacji procesowej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</w:p>
          <w:p w:rsidR="00642891" w:rsidRPr="00D27CE3" w:rsidRDefault="00CB4BF3" w:rsidP="00D27CE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64289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7D6FF5">
              <w:rPr>
                <w:rFonts w:asciiTheme="minorHAnsi" w:hAnsiTheme="minorHAnsi"/>
                <w:b/>
                <w:sz w:val="24"/>
                <w:szCs w:val="24"/>
              </w:rPr>
              <w:t xml:space="preserve"> Student zapoznaje się z</w:t>
            </w:r>
            <w:r w:rsidR="00191363">
              <w:rPr>
                <w:rFonts w:asciiTheme="minorHAnsi" w:hAnsiTheme="minorHAnsi"/>
                <w:b/>
                <w:sz w:val="24"/>
                <w:szCs w:val="24"/>
              </w:rPr>
              <w:t xml:space="preserve"> poglądami piśmiennictwa i</w:t>
            </w:r>
            <w:r w:rsidR="007D6FF5">
              <w:rPr>
                <w:rFonts w:asciiTheme="minorHAnsi" w:hAnsiTheme="minorHAnsi"/>
                <w:b/>
                <w:sz w:val="24"/>
                <w:szCs w:val="24"/>
              </w:rPr>
              <w:t xml:space="preserve"> orzecznictwem sądowym w zakresie problemów procedury karnej i umie zastosować je do rozwiązania problemów prawnych.</w:t>
            </w:r>
          </w:p>
          <w:p w:rsidR="00D27CE3" w:rsidRPr="00D27CE3" w:rsidRDefault="00CB4BF3" w:rsidP="00D27CE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. Student umie rozwiązywać podstawowe problemy prawne związane ze </w:t>
            </w:r>
          </w:p>
          <w:p w:rsidR="009741C5" w:rsidRDefault="00642891" w:rsidP="0096289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>tosowaniem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regulacji proceduralnych w zakresie postępowania karnego</w:t>
            </w:r>
            <w:r w:rsidR="00D27CE3" w:rsidRPr="00D27CE3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</w:p>
          <w:p w:rsidR="009E5787" w:rsidRPr="00962891" w:rsidRDefault="009E5787" w:rsidP="0096289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 Student potrafi odwoływać się do norm pozaprawnych, w tym norm etycznych przy rozstrzyganiu społecznego kontekstu spraw karnych.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741C5" w:rsidRDefault="0097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Zakładane efekty kształcenia: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A320A5" w:rsidP="0064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SSP_W01-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 xml:space="preserve">Student </w:t>
            </w:r>
            <w:r w:rsidR="00642891" w:rsidRPr="00962891">
              <w:rPr>
                <w:rFonts w:asciiTheme="minorHAnsi" w:hAnsiTheme="minorHAnsi"/>
                <w:sz w:val="24"/>
                <w:szCs w:val="24"/>
              </w:rPr>
              <w:t xml:space="preserve">ma wiedzę 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 xml:space="preserve">o strukturze, rodzajach 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>i trybach postępowania karnego, w tym postępowaniach szczególnych.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D27C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694C63">
              <w:rPr>
                <w:rFonts w:ascii="Times New Roman" w:hAnsi="Times New Roman"/>
                <w:sz w:val="24"/>
                <w:szCs w:val="24"/>
              </w:rPr>
              <w:t>W07</w:t>
            </w:r>
          </w:p>
        </w:tc>
      </w:tr>
      <w:tr w:rsidR="00694C63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C63" w:rsidRDefault="00694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63" w:rsidRPr="00962891" w:rsidRDefault="00A320A5" w:rsidP="00694C63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SSP_W02-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 xml:space="preserve">Student nabywa wiadomości o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poszczególnych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 xml:space="preserve"> stadiach postępowania karnego oraz o ich przebiegu.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63" w:rsidRDefault="00A320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694C63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C63" w:rsidRDefault="00694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63" w:rsidRPr="00962891" w:rsidRDefault="00A320A5" w:rsidP="00A320A5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SSP_W03-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>Student ma wiedzę o stronach procesowych, organach postępowania oraz pozostałych uczestnikach postępowania, zna podstawowe uprawnienia i obo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>wiązki uczestników postępowania.</w:t>
            </w:r>
            <w:r w:rsidR="00694C63" w:rsidRPr="0096289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63" w:rsidRDefault="00694C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K_W05, K_W07</w:t>
            </w:r>
          </w:p>
        </w:tc>
      </w:tr>
      <w:tr w:rsidR="00A320A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0A5" w:rsidRDefault="00A320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0A5" w:rsidRPr="00962891" w:rsidRDefault="00A320A5" w:rsidP="00A320A5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SSP_W04 – Student ma podstawową wiedzę o ustroju organów procesowych.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0A5" w:rsidRDefault="00A320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A320A5" w:rsidP="0064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SSP_W05-Student zna podstawowe zasady postępowania karnego i ich znaczenie dla kształtowani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>a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procesu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jego instytucji</w:t>
            </w:r>
            <w:r w:rsidR="00161292" w:rsidRPr="00962891">
              <w:rPr>
                <w:rFonts w:asciiTheme="minorHAnsi" w:hAnsiTheme="minorHAnsi"/>
                <w:sz w:val="24"/>
                <w:szCs w:val="24"/>
              </w:rPr>
              <w:t xml:space="preserve"> i pozycji podmiotów w nim uczestniczących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A320A5">
              <w:rPr>
                <w:rFonts w:ascii="Times New Roman" w:hAnsi="Times New Roman"/>
                <w:sz w:val="24"/>
                <w:szCs w:val="24"/>
              </w:rPr>
              <w:t>W07</w:t>
            </w:r>
          </w:p>
        </w:tc>
      </w:tr>
      <w:tr w:rsidR="001F62B3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2B3" w:rsidRDefault="001F62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2B3" w:rsidRPr="00962891" w:rsidRDefault="001F62B3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SSP_W06- Student zna przesłanki wszczęcia i prowadzenia postępowania karnego.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2B3" w:rsidRDefault="000D59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1F62B3" w:rsidP="00466B07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SSP_W07</w:t>
            </w:r>
            <w:r w:rsidR="00A320A5" w:rsidRPr="00962891">
              <w:rPr>
                <w:rFonts w:asciiTheme="minorHAnsi" w:hAnsiTheme="minorHAnsi"/>
                <w:sz w:val="24"/>
                <w:szCs w:val="24"/>
              </w:rPr>
              <w:t>-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Student ma wiedzę w zakresie rodzajów i charakteru czynności procesowych.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 Student m</w:t>
            </w:r>
            <w:r w:rsidR="00466B07" w:rsidRPr="00962891">
              <w:rPr>
                <w:rFonts w:asciiTheme="minorHAnsi" w:hAnsiTheme="minorHAnsi"/>
                <w:sz w:val="24"/>
                <w:szCs w:val="24"/>
              </w:rPr>
              <w:t xml:space="preserve">a wiedzę w zakresie warunków niewadliwości 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czynności procesowych</w:t>
            </w:r>
            <w:r w:rsidR="00466B07" w:rsidRPr="00962891">
              <w:rPr>
                <w:rFonts w:asciiTheme="minorHAnsi" w:hAnsiTheme="minorHAnsi"/>
                <w:sz w:val="24"/>
                <w:szCs w:val="24"/>
              </w:rPr>
              <w:t xml:space="preserve"> oraz wpływu powyższego na ich skuteczność.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1F62B3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SSP_W08</w:t>
            </w:r>
            <w:r w:rsidR="00A320A5" w:rsidRPr="00962891">
              <w:rPr>
                <w:rFonts w:asciiTheme="minorHAnsi" w:hAnsiTheme="minorHAnsi"/>
                <w:sz w:val="24"/>
                <w:szCs w:val="24"/>
              </w:rPr>
              <w:t>-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Student ma wiedzę w zakresie 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podstaw i trybów zaskarżania czynności procesowych.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1F62B3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2B3" w:rsidRDefault="001F62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2B3" w:rsidRPr="00962891" w:rsidRDefault="001F62B3" w:rsidP="001F62B3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SSP_W09-Student zna charakterystykę dowodów i zasady rządzące postępowaniem dowodowym</w:t>
            </w:r>
          </w:p>
          <w:p w:rsidR="001F62B3" w:rsidRPr="00962891" w:rsidRDefault="001F62B3" w:rsidP="00161292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2B3" w:rsidRDefault="000D59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CB" w:rsidRPr="00962891" w:rsidRDefault="00161292" w:rsidP="0096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</w:t>
            </w:r>
            <w:r w:rsidR="003C2F5E" w:rsidRPr="00962891">
              <w:rPr>
                <w:rFonts w:asciiTheme="minorHAnsi" w:hAnsiTheme="minorHAnsi"/>
                <w:sz w:val="24"/>
                <w:szCs w:val="24"/>
              </w:rPr>
              <w:t>U01-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Student</w:t>
            </w:r>
            <w:r w:rsidR="00C06B1C" w:rsidRPr="00962891">
              <w:rPr>
                <w:rFonts w:asciiTheme="minorHAnsi" w:hAnsiTheme="minorHAnsi"/>
                <w:sz w:val="24"/>
                <w:szCs w:val="24"/>
              </w:rPr>
              <w:t xml:space="preserve"> orientuje się w przepisach proceduralnych,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 xml:space="preserve"> potrafi </w:t>
            </w:r>
            <w:r w:rsidR="00C06B1C" w:rsidRPr="00962891">
              <w:rPr>
                <w:rFonts w:asciiTheme="minorHAnsi" w:hAnsiTheme="minorHAnsi"/>
                <w:sz w:val="24"/>
                <w:szCs w:val="24"/>
              </w:rPr>
              <w:t xml:space="preserve">odszukać i zastosować właściwe regulacje w danej sprawie karnej. </w:t>
            </w:r>
          </w:p>
          <w:p w:rsidR="009741C5" w:rsidRPr="00962891" w:rsidRDefault="006C3ACB" w:rsidP="0096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9971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K_U01, </w:t>
            </w:r>
            <w:r w:rsidR="00EA0398">
              <w:rPr>
                <w:rFonts w:ascii="Times New Roman" w:hAnsi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/>
                <w:sz w:val="24"/>
                <w:szCs w:val="24"/>
              </w:rPr>
              <w:t>03, K_U04</w:t>
            </w:r>
            <w:r w:rsidR="003A7226">
              <w:rPr>
                <w:rFonts w:ascii="Times New Roman" w:hAnsi="Times New Roman"/>
                <w:sz w:val="24"/>
                <w:szCs w:val="24"/>
              </w:rPr>
              <w:t>, K_U06</w:t>
            </w:r>
          </w:p>
        </w:tc>
      </w:tr>
      <w:tr w:rsidR="00C06B1C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B1C" w:rsidRDefault="00C06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1C" w:rsidRPr="00962891" w:rsidRDefault="00C06B1C" w:rsidP="0096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SSP_U02-Student</w:t>
            </w:r>
            <w:r w:rsidR="00D11B99" w:rsidRPr="00962891">
              <w:rPr>
                <w:rFonts w:asciiTheme="minorHAnsi" w:hAnsiTheme="minorHAnsi"/>
                <w:sz w:val="24"/>
                <w:szCs w:val="24"/>
              </w:rPr>
              <w:t xml:space="preserve"> sprawnie posługuje się terminologią z zakresu postępowania karnego,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umie formułować wypowiedzi o</w:t>
            </w:r>
            <w:r w:rsidR="00D11B99" w:rsidRPr="009628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stosunkach </w:t>
            </w:r>
            <w:r w:rsidR="00D11B99" w:rsidRPr="00962891">
              <w:rPr>
                <w:rFonts w:asciiTheme="minorHAnsi" w:hAnsiTheme="minorHAnsi"/>
                <w:sz w:val="24"/>
                <w:szCs w:val="24"/>
              </w:rPr>
              <w:t xml:space="preserve">procesowych w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języku prawniczym</w:t>
            </w:r>
            <w:r w:rsidR="00D11B99" w:rsidRPr="0096289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B1C" w:rsidRDefault="009971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10720B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6C3ACB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ACB" w:rsidRDefault="006C3A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B6" w:rsidRPr="00962891" w:rsidRDefault="003739B6" w:rsidP="0096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SSP_U03-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Student umie rozpoznać rodzaje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i tryby postępowań karnych oraz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prawidłowo powiązać dane postępowanie z przedmiotem i zakresem odpowiedzialności prawnej. Student potrafi formułować wnioski de </w:t>
            </w:r>
            <w:proofErr w:type="spellStart"/>
            <w:r w:rsidRPr="00962891">
              <w:rPr>
                <w:rFonts w:asciiTheme="minorHAnsi" w:hAnsiTheme="minorHAnsi"/>
                <w:sz w:val="24"/>
                <w:szCs w:val="24"/>
              </w:rPr>
              <w:t>lege</w:t>
            </w:r>
            <w:proofErr w:type="spellEnd"/>
            <w:r w:rsidRPr="00962891">
              <w:rPr>
                <w:rFonts w:asciiTheme="minorHAnsi" w:hAnsiTheme="minorHAnsi"/>
                <w:sz w:val="24"/>
                <w:szCs w:val="24"/>
              </w:rPr>
              <w:t xml:space="preserve"> lata dotyczące poszczególnych postępowań.</w:t>
            </w:r>
          </w:p>
          <w:p w:rsidR="006C3ACB" w:rsidRPr="00962891" w:rsidRDefault="006C3ACB" w:rsidP="0096289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CB" w:rsidRDefault="003A72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K_U02, K_U03, KU_07</w:t>
            </w:r>
          </w:p>
        </w:tc>
      </w:tr>
      <w:tr w:rsidR="006C3ACB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ACB" w:rsidRDefault="006C3A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9B6" w:rsidRPr="00962891" w:rsidRDefault="003739B6" w:rsidP="001F62B3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SSP_U04-Student umie określić następstwa procesowe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lastRenderedPageBreak/>
              <w:t>poszczególnych działań uczestników postępowania i sformułować wnioski, co do sposobu procedowania w danej sytuacji procesowej</w:t>
            </w:r>
            <w:r w:rsidR="001F62B3" w:rsidRPr="00962891">
              <w:rPr>
                <w:rFonts w:asciiTheme="minorHAnsi" w:hAnsiTheme="minorHAnsi"/>
                <w:sz w:val="24"/>
                <w:szCs w:val="24"/>
              </w:rPr>
              <w:t xml:space="preserve"> stosując argumentację prawniczą oraz poprawnie posługując się językiem prawniczym.</w:t>
            </w:r>
          </w:p>
          <w:p w:rsidR="006C3ACB" w:rsidRPr="00962891" w:rsidRDefault="006C3ACB" w:rsidP="006C3AC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CB" w:rsidRDefault="003A72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K_U01, K_U02, K_U03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3739B6" w:rsidP="001F62B3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SSP_U05-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Student umie rozwiązywać problemy prawne dotyczące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przebiegu postępowania karnego</w:t>
            </w:r>
            <w:r w:rsidR="001F62B3" w:rsidRPr="00962891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 xml:space="preserve"> sporządzać 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p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odstawowe</w:t>
            </w:r>
            <w:r w:rsidR="001F62B3" w:rsidRPr="00962891">
              <w:rPr>
                <w:rFonts w:asciiTheme="minorHAnsi" w:hAnsiTheme="minorHAnsi"/>
                <w:sz w:val="24"/>
                <w:szCs w:val="24"/>
              </w:rPr>
              <w:t xml:space="preserve"> pisma procesowe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 w:rsidP="003A72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3A722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Pr="00962891" w:rsidRDefault="001F62B3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SSP_U05-Student umie ocenić legalność, skuteczność i 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słuszność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poszczególnych czynności procesowych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, a także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ro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>zpoznać sposób ich zaskarżenia  formułując zarzuty i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wnioski oraz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 uzasadnić swoje stanowisko stosując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>argumentację prawniczą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="006C3ACB" w:rsidRPr="00962891">
              <w:rPr>
                <w:rFonts w:asciiTheme="minorHAnsi" w:hAnsiTheme="minorHAnsi"/>
                <w:sz w:val="24"/>
                <w:szCs w:val="24"/>
              </w:rPr>
              <w:t xml:space="preserve"> poprawnie posługując się językiem prawniczym.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3A7226">
              <w:rPr>
                <w:rFonts w:ascii="Times New Roman" w:hAnsi="Times New Roman"/>
                <w:sz w:val="24"/>
                <w:szCs w:val="24"/>
              </w:rPr>
              <w:t>02, K_U03, K_U04</w:t>
            </w:r>
          </w:p>
        </w:tc>
      </w:tr>
      <w:tr w:rsidR="00EA0398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398" w:rsidRDefault="00EA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98" w:rsidRPr="00962891" w:rsidRDefault="000D59DC" w:rsidP="006C3AC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Student potrafi wykorzystywać dorobek piśmiennictwa i judykatury w sprawach karnych dla oceny danej sytuacji procesowej i formułowania własnych opini</w:t>
            </w:r>
            <w:r w:rsidR="001C2D40" w:rsidRPr="00962891">
              <w:rPr>
                <w:rFonts w:asciiTheme="minorHAnsi" w:hAnsiTheme="minorHAnsi"/>
                <w:sz w:val="24"/>
                <w:szCs w:val="24"/>
              </w:rPr>
              <w:t xml:space="preserve">i de </w:t>
            </w:r>
            <w:proofErr w:type="spellStart"/>
            <w:r w:rsidR="001C2D40" w:rsidRPr="00962891">
              <w:rPr>
                <w:rFonts w:asciiTheme="minorHAnsi" w:hAnsiTheme="minorHAnsi"/>
                <w:sz w:val="24"/>
                <w:szCs w:val="24"/>
              </w:rPr>
              <w:t>lege</w:t>
            </w:r>
            <w:proofErr w:type="spellEnd"/>
            <w:r w:rsidR="001C2D40" w:rsidRPr="00962891">
              <w:rPr>
                <w:rFonts w:asciiTheme="minorHAnsi" w:hAnsiTheme="minorHAnsi"/>
                <w:sz w:val="24"/>
                <w:szCs w:val="24"/>
              </w:rPr>
              <w:t xml:space="preserve"> lata.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K_UO</w:t>
            </w:r>
            <w:r w:rsidR="003A7226">
              <w:rPr>
                <w:rFonts w:ascii="Times New Roman" w:hAnsi="Times New Roman"/>
                <w:sz w:val="24"/>
                <w:szCs w:val="24"/>
              </w:rPr>
              <w:t>7, K_U02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DC" w:rsidRPr="00962891" w:rsidRDefault="00077598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_K01 – Student jest zdolny do prawidłowego </w:t>
            </w:r>
          </w:p>
          <w:p w:rsidR="009741C5" w:rsidRPr="00962891" w:rsidRDefault="000D59DC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identyfikowania praw i obowiązków </w:t>
            </w:r>
            <w:r w:rsidR="003A7226" w:rsidRPr="00962891">
              <w:rPr>
                <w:rFonts w:asciiTheme="minorHAnsi" w:hAnsiTheme="minorHAnsi"/>
                <w:sz w:val="24"/>
                <w:szCs w:val="24"/>
              </w:rPr>
              <w:t>uczestników postępowania karnego</w:t>
            </w:r>
            <w:r w:rsidR="008E7FAF" w:rsidRPr="00962891">
              <w:rPr>
                <w:rFonts w:asciiTheme="minorHAnsi" w:hAnsiTheme="minorHAnsi"/>
                <w:sz w:val="24"/>
                <w:szCs w:val="24"/>
              </w:rPr>
              <w:t xml:space="preserve"> oraz ciążącej na nich odpowiedzialności wynikającej ze społecznego kontekstu ich działań. Student  </w:t>
            </w:r>
            <w:r w:rsidR="00543A53" w:rsidRPr="00962891">
              <w:rPr>
                <w:rFonts w:asciiTheme="minorHAnsi" w:hAnsiTheme="minorHAnsi"/>
                <w:sz w:val="24"/>
                <w:szCs w:val="24"/>
              </w:rPr>
              <w:t xml:space="preserve">jest gotów do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rozstrzygania dylematów związanych ze stosowaniem prawa z uwzględnieniem </w:t>
            </w:r>
            <w:r w:rsidR="008E7FAF" w:rsidRPr="00962891">
              <w:rPr>
                <w:rFonts w:asciiTheme="minorHAnsi" w:hAnsiTheme="minorHAnsi"/>
                <w:sz w:val="24"/>
                <w:szCs w:val="24"/>
              </w:rPr>
              <w:t xml:space="preserve">norm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>pozaprawnych</w:t>
            </w:r>
            <w:r w:rsidR="008E7FAF" w:rsidRPr="00962891">
              <w:rPr>
                <w:rFonts w:asciiTheme="minorHAnsi" w:hAnsiTheme="minorHAnsi"/>
                <w:sz w:val="24"/>
                <w:szCs w:val="24"/>
              </w:rPr>
              <w:t>, zwłaszcza norm społecznych.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  <w:r w:rsidR="0010720B">
              <w:rPr>
                <w:rFonts w:ascii="Times New Roman" w:hAnsi="Times New Roman"/>
                <w:sz w:val="24"/>
                <w:szCs w:val="24"/>
              </w:rPr>
              <w:t>, K_K06, K_K07,</w:t>
            </w:r>
            <w:r w:rsidR="004065CB">
              <w:rPr>
                <w:rFonts w:ascii="Times New Roman" w:hAnsi="Times New Roman"/>
                <w:sz w:val="24"/>
                <w:szCs w:val="24"/>
              </w:rPr>
              <w:t xml:space="preserve"> K_K14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0B" w:rsidRPr="00962891" w:rsidRDefault="00077598" w:rsidP="0010720B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_K02 – Student </w:t>
            </w:r>
            <w:r w:rsidR="0010720B" w:rsidRPr="00962891">
              <w:rPr>
                <w:rFonts w:asciiTheme="minorHAnsi" w:hAnsiTheme="minorHAnsi"/>
                <w:sz w:val="24"/>
                <w:szCs w:val="24"/>
              </w:rPr>
              <w:t>ma świadomość podwyższonych standardów ciążących na profesjonalnych uczestnikach postępowania karnego – organach procesowych oraz pełnomocnikach.</w:t>
            </w:r>
          </w:p>
          <w:p w:rsidR="009741C5" w:rsidRPr="00962891" w:rsidRDefault="009741C5" w:rsidP="000D59D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10720B">
              <w:rPr>
                <w:rFonts w:ascii="Times New Roman" w:hAnsi="Times New Roman"/>
                <w:sz w:val="24"/>
                <w:szCs w:val="24"/>
              </w:rPr>
              <w:t>7, K_K06, K_K08,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9741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DC" w:rsidRPr="00962891" w:rsidRDefault="00077598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_K03 – Student umie komunikować swoje poglądy </w:t>
            </w:r>
          </w:p>
          <w:p w:rsidR="009741C5" w:rsidRPr="00962891" w:rsidRDefault="000D59DC" w:rsidP="00281756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publicznie przed grupą osób</w:t>
            </w:r>
            <w:r w:rsidR="00281756" w:rsidRPr="00962891">
              <w:rPr>
                <w:rFonts w:asciiTheme="minorHAnsi" w:hAnsiTheme="minorHAnsi"/>
                <w:sz w:val="24"/>
                <w:szCs w:val="24"/>
              </w:rPr>
              <w:t xml:space="preserve"> oraz przedstawiać propozycje rozstrzygania sytuacji spornych na drodze  dyskursu i konsensusu.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K_K05</w:t>
            </w:r>
            <w:r w:rsidR="00281756">
              <w:rPr>
                <w:rFonts w:ascii="Times New Roman" w:hAnsi="Times New Roman"/>
                <w:sz w:val="24"/>
                <w:szCs w:val="24"/>
              </w:rPr>
              <w:t>, K_K09, K_K10</w:t>
            </w:r>
            <w:r w:rsidR="004065CB">
              <w:rPr>
                <w:rFonts w:ascii="Times New Roman" w:hAnsi="Times New Roman"/>
                <w:sz w:val="24"/>
                <w:szCs w:val="24"/>
              </w:rPr>
              <w:t>, K_K12, K_K14</w:t>
            </w:r>
          </w:p>
        </w:tc>
      </w:tr>
      <w:tr w:rsidR="00EA0398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398" w:rsidRDefault="00EA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98" w:rsidRPr="00962891" w:rsidRDefault="00077598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_K04 – Student umie pracować w grupie i rozstrzygać kwestie prawne z uwzględnieniem kontekstu społecznego </w:t>
            </w:r>
            <w:r w:rsidR="008E7FAF" w:rsidRPr="00962891">
              <w:rPr>
                <w:rFonts w:asciiTheme="minorHAnsi" w:hAnsiTheme="minorHAnsi"/>
                <w:sz w:val="24"/>
                <w:szCs w:val="24"/>
              </w:rPr>
              <w:t>danej sprawy karnej</w:t>
            </w:r>
            <w:r w:rsidR="004065CB" w:rsidRPr="0096289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8E7FAF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4065CB">
              <w:rPr>
                <w:rFonts w:ascii="Times New Roman" w:hAnsi="Times New Roman"/>
                <w:sz w:val="24"/>
                <w:szCs w:val="24"/>
              </w:rPr>
              <w:t>K_K12</w:t>
            </w:r>
          </w:p>
        </w:tc>
      </w:tr>
      <w:tr w:rsidR="00EA0398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398" w:rsidRDefault="00EA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DC" w:rsidRPr="00962891" w:rsidRDefault="00077598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_K05 – Student umie precyzyjnie przedstawić osobom niebędącym prawnikami aspekty danej </w:t>
            </w:r>
          </w:p>
          <w:p w:rsidR="00EA0398" w:rsidRPr="00962891" w:rsidRDefault="000D59DC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sytuacji </w:t>
            </w:r>
            <w:r w:rsidR="0010720B" w:rsidRPr="00962891">
              <w:rPr>
                <w:rFonts w:asciiTheme="minorHAnsi" w:hAnsiTheme="minorHAnsi"/>
                <w:sz w:val="24"/>
                <w:szCs w:val="24"/>
              </w:rPr>
              <w:t>procesowej.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1072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0398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398" w:rsidRDefault="00EA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DC" w:rsidRPr="00962891" w:rsidRDefault="00077598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>SSP</w:t>
            </w:r>
            <w:r w:rsidR="000D59DC" w:rsidRPr="00962891">
              <w:rPr>
                <w:rFonts w:asciiTheme="minorHAnsi" w:hAnsiTheme="minorHAnsi"/>
                <w:sz w:val="24"/>
                <w:szCs w:val="24"/>
              </w:rPr>
              <w:t xml:space="preserve">_K06 – Student jest świadomy potrzeby ciągłego </w:t>
            </w:r>
          </w:p>
          <w:p w:rsidR="00EA0398" w:rsidRPr="00962891" w:rsidRDefault="000D59DC" w:rsidP="000D59DC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kształcenia się i aktualizowania posiadanych informacji </w:t>
            </w:r>
            <w:r w:rsidR="008E7FAF" w:rsidRPr="00962891">
              <w:rPr>
                <w:rFonts w:asciiTheme="minorHAnsi" w:hAnsiTheme="minorHAnsi"/>
                <w:sz w:val="24"/>
                <w:szCs w:val="24"/>
              </w:rPr>
              <w:t>z zakresu postępowania karnego</w:t>
            </w:r>
            <w:r w:rsidRPr="0096289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8E7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0398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398" w:rsidRDefault="00EA0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98" w:rsidRPr="00962891" w:rsidRDefault="004065CB" w:rsidP="004065CB">
            <w:pPr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62891">
              <w:rPr>
                <w:rFonts w:asciiTheme="minorHAnsi" w:hAnsiTheme="minorHAnsi"/>
                <w:sz w:val="24"/>
                <w:szCs w:val="24"/>
              </w:rPr>
              <w:t xml:space="preserve">SSP_K07 – Student ma świadomość istnienia </w:t>
            </w:r>
            <w:r w:rsidRPr="00962891">
              <w:rPr>
                <w:rFonts w:asciiTheme="minorHAnsi" w:hAnsiTheme="minorHAnsi"/>
                <w:sz w:val="24"/>
                <w:szCs w:val="24"/>
              </w:rPr>
              <w:lastRenderedPageBreak/>
              <w:t>pozasądowych sposobów rozwiązywania sporów w sprawach karnych i ich znaczenia społecznego.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98" w:rsidRDefault="00EA0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K_K</w:t>
            </w:r>
            <w:r w:rsidR="004065CB">
              <w:rPr>
                <w:rFonts w:ascii="Times New Roman" w:hAnsi="Times New Roman"/>
                <w:sz w:val="24"/>
                <w:szCs w:val="24"/>
              </w:rPr>
              <w:t>10, K_K12, K_K14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tbl>
            <w:tblPr>
              <w:tblStyle w:val="Tabela-Siatka"/>
              <w:tblW w:w="4962" w:type="pct"/>
              <w:tblLook w:val="04A0"/>
            </w:tblPr>
            <w:tblGrid>
              <w:gridCol w:w="595"/>
              <w:gridCol w:w="6899"/>
              <w:gridCol w:w="921"/>
            </w:tblGrid>
            <w:tr w:rsidR="001C2D40" w:rsidTr="003B7564">
              <w:tc>
                <w:tcPr>
                  <w:tcW w:w="354" w:type="pct"/>
                </w:tcPr>
                <w:p w:rsidR="001C2D40" w:rsidRPr="00523269" w:rsidRDefault="00523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3269">
                    <w:rPr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099" w:type="pct"/>
                </w:tcPr>
                <w:p w:rsidR="001C2D40" w:rsidRPr="00523269" w:rsidRDefault="00523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3269">
                    <w:rPr>
                      <w:b/>
                      <w:sz w:val="24"/>
                      <w:szCs w:val="24"/>
                    </w:rPr>
                    <w:t xml:space="preserve">Tematyka zajęć </w:t>
                  </w:r>
                  <w:r w:rsidR="006F6720">
                    <w:rPr>
                      <w:b/>
                      <w:sz w:val="24"/>
                      <w:szCs w:val="24"/>
                    </w:rPr>
                    <w:t>–</w:t>
                  </w:r>
                  <w:r w:rsidRPr="00523269">
                    <w:rPr>
                      <w:b/>
                      <w:sz w:val="24"/>
                      <w:szCs w:val="24"/>
                    </w:rPr>
                    <w:t xml:space="preserve"> wykłady</w:t>
                  </w:r>
                </w:p>
              </w:tc>
              <w:tc>
                <w:tcPr>
                  <w:tcW w:w="547" w:type="pct"/>
                </w:tcPr>
                <w:p w:rsidR="001C2D40" w:rsidRPr="00523269" w:rsidRDefault="0052326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523269">
                    <w:rPr>
                      <w:b/>
                      <w:sz w:val="24"/>
                      <w:szCs w:val="24"/>
                    </w:rPr>
                    <w:t>godzin</w:t>
                  </w:r>
                </w:p>
              </w:tc>
            </w:tr>
            <w:tr w:rsidR="001C2D40" w:rsidTr="003B7564">
              <w:tc>
                <w:tcPr>
                  <w:tcW w:w="354" w:type="pct"/>
                </w:tcPr>
                <w:p w:rsidR="001C2D40" w:rsidRDefault="005232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9" w:type="pct"/>
                </w:tcPr>
                <w:p w:rsidR="001C2D40" w:rsidRDefault="00D9735A" w:rsidP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</w:t>
                  </w:r>
                  <w:r w:rsidRPr="00D9735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prowadzenie do nauki prawa karnego procesowego i wstępne wiadomości o procesie karnym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440E3D">
                    <w:rPr>
                      <w:rFonts w:asciiTheme="minorHAnsi" w:hAnsiTheme="minorHAnsi" w:cstheme="minorHAnsi"/>
                      <w:sz w:val="24"/>
                      <w:szCs w:val="24"/>
                    </w:rPr>
                    <w:t>P</w:t>
                  </w:r>
                  <w:r w:rsidR="00413616">
                    <w:rPr>
                      <w:rFonts w:asciiTheme="minorHAnsi" w:hAnsiTheme="minorHAnsi" w:cstheme="minorHAnsi"/>
                      <w:sz w:val="24"/>
                      <w:szCs w:val="24"/>
                    </w:rPr>
                    <w:t>ojęcia podstawowe. Istota procesu karnego. O</w:t>
                  </w:r>
                  <w:r w:rsidR="00413616" w:rsidRPr="00D9735A"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413616">
                    <w:rPr>
                      <w:rFonts w:asciiTheme="minorHAnsi" w:hAnsiTheme="minorHAnsi" w:cstheme="minorHAnsi"/>
                      <w:sz w:val="24"/>
                      <w:szCs w:val="24"/>
                    </w:rPr>
                    <w:t>ólny przebieg i stadia procesu</w:t>
                  </w:r>
                  <w:r w:rsidR="00413616" w:rsidRPr="00D9735A">
                    <w:rPr>
                      <w:rFonts w:asciiTheme="minorHAnsi" w:hAnsiTheme="minorHAnsi" w:cstheme="minorHAnsi"/>
                      <w:sz w:val="24"/>
                      <w:szCs w:val="24"/>
                    </w:rPr>
                    <w:t>, rodzaje i tryby procesu, postępowanie zasadnicze, postępowania dodatkowe</w:t>
                  </w:r>
                  <w:r w:rsidR="00413616" w:rsidRPr="00BC10A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1C2D40" w:rsidRDefault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13616" w:rsidTr="003B7564">
              <w:tc>
                <w:tcPr>
                  <w:tcW w:w="354" w:type="pct"/>
                </w:tcPr>
                <w:p w:rsidR="00413616" w:rsidRDefault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9" w:type="pct"/>
                </w:tcPr>
                <w:p w:rsidR="00413616" w:rsidRDefault="00413616" w:rsidP="00413616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Cele i funkcje procesu karnego. </w:t>
                  </w:r>
                  <w:r>
                    <w:rPr>
                      <w:sz w:val="24"/>
                      <w:szCs w:val="24"/>
                    </w:rPr>
                    <w:t>Mediacja.</w:t>
                  </w:r>
                </w:p>
              </w:tc>
              <w:tc>
                <w:tcPr>
                  <w:tcW w:w="547" w:type="pct"/>
                </w:tcPr>
                <w:p w:rsidR="00413616" w:rsidRDefault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23269" w:rsidTr="003B7564">
              <w:tc>
                <w:tcPr>
                  <w:tcW w:w="354" w:type="pct"/>
                </w:tcPr>
                <w:p w:rsidR="00523269" w:rsidRDefault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9" w:type="pct"/>
                </w:tcPr>
                <w:p w:rsidR="00403F22" w:rsidRPr="00440E3D" w:rsidRDefault="00081FCB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40E3D">
                    <w:rPr>
                      <w:rFonts w:asciiTheme="minorHAnsi" w:hAnsiTheme="minorHAnsi" w:cstheme="minorHAnsi"/>
                      <w:sz w:val="24"/>
                      <w:szCs w:val="24"/>
                    </w:rPr>
                    <w:t>Uczestnicy postępowania</w:t>
                  </w:r>
                  <w:r w:rsidR="00523269" w:rsidRPr="00440E3D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  <w:r w:rsidRPr="00440E3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Organy procesowe</w:t>
                  </w:r>
                  <w:r w:rsidR="00403F22" w:rsidRPr="00440E3D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Organy postępowania przygotowawczego i ich właściwość. Sąd (zasady gwarancyjne wymiaru sprawiedliwości, skład sądu, właściwość sądu, wyłączenie sędziego). Strony procesowe i ich reprezentanci.</w:t>
                  </w:r>
                  <w:r w:rsidR="00440E3D" w:rsidRPr="00440E3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440E3D">
                    <w:rPr>
                      <w:rFonts w:asciiTheme="minorHAnsi" w:hAnsiTheme="minorHAnsi" w:cstheme="minorHAnsi"/>
                      <w:sz w:val="24"/>
                      <w:szCs w:val="24"/>
                    </w:rPr>
                    <w:t>K</w:t>
                  </w:r>
                  <w:r w:rsidR="00440E3D" w:rsidRPr="00440E3D">
                    <w:rPr>
                      <w:rFonts w:asciiTheme="minorHAnsi" w:hAnsiTheme="minorHAnsi" w:cstheme="minorHAnsi"/>
                      <w:sz w:val="24"/>
                      <w:szCs w:val="24"/>
                    </w:rPr>
                    <w:t>umulacja ról procesowych i ich rozłączność.</w:t>
                  </w:r>
                </w:p>
              </w:tc>
              <w:tc>
                <w:tcPr>
                  <w:tcW w:w="547" w:type="pct"/>
                </w:tcPr>
                <w:p w:rsidR="00523269" w:rsidRDefault="00081FC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9" w:type="pct"/>
                </w:tcPr>
                <w:p w:rsidR="005543F1" w:rsidRPr="00621954" w:rsidRDefault="00621954" w:rsidP="009D2AF8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71657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Naczelne zasady procesu karnego: pojecie zasady prawnej i zasady procesowej; zasada w znacz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eniu abstrakcyjnym i konkretnym. K</w:t>
                  </w:r>
                  <w:r w:rsidRPr="00471657">
                    <w:rPr>
                      <w:rFonts w:asciiTheme="minorHAnsi" w:hAnsiTheme="minorHAnsi" w:cstheme="minorHAnsi"/>
                      <w:sz w:val="24"/>
                      <w:szCs w:val="24"/>
                    </w:rPr>
                    <w:t>lasyfikacja zasad procesowych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. O</w:t>
                  </w:r>
                  <w:r w:rsidRPr="00471657">
                    <w:rPr>
                      <w:rFonts w:asciiTheme="minorHAnsi" w:hAnsiTheme="minorHAnsi" w:cstheme="minorHAnsi"/>
                      <w:sz w:val="24"/>
                      <w:szCs w:val="24"/>
                    </w:rPr>
                    <w:t>mówienie poszczególnych zasad procesowych: zasady prawdy materialnej, zasady obiektywizmu, zasady legalizmu i oportunizmu, zasady skargowości, zasady kontradyktoryjności i inkwizycyjności, zasad dotyczących praw oskarżonego, zasady instancyjności, prawa do informacji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543F1" w:rsidRDefault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9" w:type="pct"/>
                </w:tcPr>
                <w:p w:rsidR="00471657" w:rsidRDefault="00ED0DB4" w:rsidP="0062195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B5F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Postępowanie dowodowe.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Poję</w:t>
                  </w:r>
                  <w:r w:rsidRPr="007B5F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cie dowodu, udo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wodnienie a uprawdopodobnienie. Surogaty dowodzenia. Z</w:t>
                  </w:r>
                  <w:r w:rsidRPr="007B5F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asady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poznania dowodowego.</w:t>
                  </w:r>
                </w:p>
              </w:tc>
              <w:tc>
                <w:tcPr>
                  <w:tcW w:w="547" w:type="pct"/>
                </w:tcPr>
                <w:p w:rsidR="005543F1" w:rsidRDefault="0062195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B4035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9" w:type="pct"/>
                </w:tcPr>
                <w:p w:rsidR="005543F1" w:rsidRPr="007B5F32" w:rsidRDefault="00A06042" w:rsidP="0062195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Wprowadzenie dowodów - inicjatywa dowodowa, wniosek dowodowy, wymogi formalne i treść wniosku dowodowego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. P</w:t>
                  </w:r>
                  <w:r w:rsidRPr="004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rzesłanki oddalenia wniosku dowodowego i forma oddalenia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. O</w:t>
                  </w:r>
                  <w:r w:rsidRPr="004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skarżony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 świadek </w:t>
                  </w:r>
                  <w:r w:rsidRPr="00450F2D">
                    <w:rPr>
                      <w:rFonts w:asciiTheme="minorHAnsi" w:hAnsiTheme="minorHAnsi" w:cstheme="minorHAnsi"/>
                      <w:sz w:val="24"/>
                      <w:szCs w:val="24"/>
                    </w:rPr>
                    <w:t>jako źródło dowodu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B4035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9" w:type="pct"/>
                </w:tcPr>
                <w:p w:rsidR="00621954" w:rsidRPr="00450F2D" w:rsidRDefault="00621954" w:rsidP="00413616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</w:t>
                  </w:r>
                  <w:r w:rsidRPr="00D359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oszukiwanie i ujawnianie dowodów: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3596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przeszukanie, zatrzymanie rzeczy, kontrola i utrwalanie rozmów. </w:t>
                  </w:r>
                </w:p>
              </w:tc>
              <w:tc>
                <w:tcPr>
                  <w:tcW w:w="547" w:type="pct"/>
                </w:tcPr>
                <w:p w:rsidR="005543F1" w:rsidRDefault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B4035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9" w:type="pct"/>
                </w:tcPr>
                <w:p w:rsidR="000C132B" w:rsidRPr="000C132B" w:rsidRDefault="00D679B0" w:rsidP="000C132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Ś</w:t>
                  </w:r>
                  <w:r w:rsidR="001E764A"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rodki przymusu. </w:t>
                  </w:r>
                  <w:r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S</w:t>
                  </w:r>
                  <w:r w:rsidR="001E764A"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ystematyka, pojęcie, funkcje, przesłanki stosowania środków przymusu. </w:t>
                  </w:r>
                  <w:r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K</w:t>
                  </w:r>
                  <w:r w:rsidR="001E764A"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ontrola stosowania środków przymusu</w:t>
                  </w:r>
                  <w:r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Z</w:t>
                  </w:r>
                  <w:r w:rsidR="001E764A"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atrzymanie osoby</w:t>
                  </w:r>
                  <w:r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Tymczasowe aresztowanie (</w:t>
                  </w:r>
                  <w:r w:rsidR="001E764A"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przesłanki stosowania tymczasowego aresztowania,</w:t>
                  </w:r>
                  <w:r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1E764A"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organy stosujące tymczasowe aresztowanie i czas stosowania tego środka</w:t>
                  </w:r>
                  <w:r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0C132B" w:rsidRPr="000C13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Pozostałe środki zapobiegawcze i środki przymusu: dozór, poręczenie majątkowe, społeczne i osoby godnej zaufania. Zabezpieczenie majątkowe.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B4035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9" w:type="pct"/>
                </w:tcPr>
                <w:p w:rsidR="00FC7D6D" w:rsidRPr="00FC7D6D" w:rsidRDefault="00FC7D6D" w:rsidP="00FC7D6D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Postępowanie przygotowawcze. Cel i funkcje postępowania przygotowawczego. 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Postępowanie sprawdzające (art. 307 k.p.k.) i postępowanie w niezbędnym zakresie (art. 308 k.p.k.).</w:t>
                  </w: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Przebieg postępowania przygotowawczego:</w:t>
                  </w: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postępowanie przygotowawcze 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lastRenderedPageBreak/>
                    <w:t xml:space="preserve">w sprawie </w:t>
                  </w:r>
                  <w:proofErr w:type="spellStart"/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(i</w:t>
                  </w:r>
                  <w:proofErr w:type="spellEnd"/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 rem),</w:t>
                  </w: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postępowanie przygotowawcze przeciwko osobie </w:t>
                  </w:r>
                  <w:proofErr w:type="spellStart"/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(i</w:t>
                  </w:r>
                  <w:proofErr w:type="spellEnd"/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n </w:t>
                  </w:r>
                  <w:proofErr w:type="spellStart"/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personam</w:t>
                  </w:r>
                  <w:proofErr w:type="spellEnd"/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),</w:t>
                  </w: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przedstawienie zarzutów, modyfikacja zarzutów</w:t>
                  </w: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udział stron oraz ich przedstawicieli procesowych w czynnościach postępowania przygotowawczego.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Z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amknięcie i zakończenie postępowania przygotowawczego, czynności związane z zamknięciem postępowania przygotowawczego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</w:t>
                  </w:r>
                </w:p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C10A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543F1" w:rsidRDefault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B4035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099" w:type="pct"/>
                </w:tcPr>
                <w:p w:rsidR="005543F1" w:rsidRPr="004F37E5" w:rsidRDefault="00FC7D6D" w:rsidP="00413616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Zakończenie postępowania przygotowawczego i postępowanie przejściowe. </w:t>
                  </w:r>
                  <w:r w:rsidR="00D4058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U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morzenie postępowania </w:t>
                  </w:r>
                  <w:r w:rsidR="0041361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oraz subsydiarny akt oskarżenia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</w:t>
                  </w: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D4058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S</w:t>
                  </w:r>
                  <w:r w:rsidRPr="00FC7D6D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kierowanie sprawy do sądu: akt oskarżenia, wniosek o warunkowe umorzenie postępowania, wniosek o umorzenie postępowania i zastosowanie środka zabezpieczającego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K</w:t>
                  </w: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ontrola formalna.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K</w:t>
                  </w: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>ontrola merytoryczna aktu oskarżenia</w:t>
                  </w:r>
                  <w:r w:rsidR="004F37E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  <w:r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>Kwestie incydentalne, wnioski dowodowe, przygotowanie organizacyjne rozprawy głównej</w:t>
                  </w:r>
                  <w:r w:rsidR="005543F1" w:rsidRPr="00FC7D6D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4035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9" w:type="pct"/>
                </w:tcPr>
                <w:p w:rsidR="005543F1" w:rsidRPr="004C436F" w:rsidRDefault="004761B5" w:rsidP="00A06042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Rozprawa główna a konsensualne sposoby zakończenia postępowania karnego. Kontradyktoryjność a </w:t>
                  </w:r>
                  <w:proofErr w:type="spellStart"/>
                  <w:r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konsensualizm</w:t>
                  </w:r>
                  <w:proofErr w:type="spellEnd"/>
                  <w:r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postępowania karnego</w:t>
                  </w:r>
                  <w:r w:rsidR="004C436F"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S</w:t>
                  </w:r>
                  <w:r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>kazanie bez rozprawy (art. 335</w:t>
                  </w:r>
                  <w:r w:rsidR="00A0604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§ 1 i 2</w:t>
                  </w:r>
                  <w:r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k.p.k.)</w:t>
                  </w:r>
                  <w:r w:rsidR="004C436F"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D</w:t>
                  </w:r>
                  <w:r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>obrowolne poddanie się karze (art.</w:t>
                  </w:r>
                  <w:r w:rsidR="00A0604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338a i</w:t>
                  </w:r>
                  <w:r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387 k.p.k.)</w:t>
                  </w:r>
                  <w:r w:rsidR="004C436F"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P</w:t>
                  </w:r>
                  <w:r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>rzepisy ogólne o rozprawie głównej: jawność rozprawy głównej</w:t>
                  </w:r>
                  <w:r w:rsidR="004C436F"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</w:t>
                  </w:r>
                  <w:r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>struktura rozprawy głównej</w:t>
                  </w:r>
                  <w:r w:rsidR="004C436F"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</w:t>
                  </w:r>
                  <w:r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>obecność stron i uczestników postępowania</w:t>
                  </w:r>
                  <w:r w:rsidR="004C436F"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47" w:type="pct"/>
                </w:tcPr>
                <w:p w:rsidR="005543F1" w:rsidRDefault="004761B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4035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9" w:type="pct"/>
                </w:tcPr>
                <w:p w:rsidR="005543F1" w:rsidRPr="00936212" w:rsidRDefault="00413616" w:rsidP="00413616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Systematyka środków zaskarżenia. Zwyczajne środki zaskarżenia</w:t>
                  </w:r>
                  <w:r w:rsidR="00936212" w:rsidRPr="0093621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  <w:r w:rsidR="00936212" w:rsidRPr="0093621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Pojęcie i systematyka środków odwoławczych. Cechy środka odwoławczego i składanie środków odwoławczych</w:t>
                  </w:r>
                  <w:r w:rsidR="00936212" w:rsidRPr="0093621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  <w:r w:rsidR="00936212" w:rsidRPr="0093621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Apelacja i jej warunki formalne. Granice i kierunek środka odwoławczego.</w:t>
                  </w:r>
                  <w:r w:rsidR="00936212" w:rsidRPr="0093621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936212" w:rsidRPr="0093621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Względne i bezwzględne przyczyny odwoławcze.</w:t>
                  </w:r>
                  <w:r w:rsidR="00936212" w:rsidRPr="0093621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936212" w:rsidRPr="0093621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Rodzaje rozstrzygnięć sądu odwoławczego</w:t>
                  </w:r>
                  <w:r w:rsidR="00936212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47" w:type="pct"/>
                </w:tcPr>
                <w:p w:rsidR="005543F1" w:rsidRDefault="004136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4035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9" w:type="pct"/>
                </w:tcPr>
                <w:p w:rsidR="005543F1" w:rsidRPr="00936212" w:rsidRDefault="00936212" w:rsidP="00936212">
                  <w:pPr>
                    <w:spacing w:after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936212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Nadzwyczajne środki zaskarżenia. Cechy charakterystyczne nadzwyczajnych środków zaskarżenia i ich dopuszczalność. Kasacja. Podstawy kasacji, podmioty uprawnione i postępowanie w przedmiocie kasacji. Wniosek o wznowienie postępowania.</w:t>
                  </w:r>
                </w:p>
              </w:tc>
              <w:tc>
                <w:tcPr>
                  <w:tcW w:w="547" w:type="pct"/>
                </w:tcPr>
                <w:p w:rsidR="005543F1" w:rsidRDefault="009362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9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23269">
                    <w:rPr>
                      <w:b/>
                      <w:sz w:val="24"/>
                      <w:szCs w:val="24"/>
                    </w:rPr>
                    <w:t xml:space="preserve">Tematyka zajęć - </w:t>
                  </w:r>
                  <w:r>
                    <w:rPr>
                      <w:b/>
                      <w:sz w:val="24"/>
                      <w:szCs w:val="24"/>
                    </w:rPr>
                    <w:t>ćwiczenia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9" w:type="pct"/>
                </w:tcPr>
                <w:p w:rsidR="005543F1" w:rsidRPr="00145FDC" w:rsidRDefault="00145FDC" w:rsidP="00145FD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45F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Zajęcia organizacyjne.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</w:t>
                  </w:r>
                  <w:r w:rsidRPr="00145F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stępne wiadomości o procesie karnym, w szczególności rodzaje i tryby procesu, prze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bieg i stadia procesu. W</w:t>
                  </w:r>
                  <w:r w:rsidRPr="00145F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prowadzenie do zagadnienia uczestników postępowania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9" w:type="pct"/>
                </w:tcPr>
                <w:p w:rsidR="005543F1" w:rsidRPr="00145FDC" w:rsidRDefault="00145FDC" w:rsidP="00145FD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45F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Czynności procesowe (pojęcie i klasyfikacja, omówienie rodzajów).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R</w:t>
                  </w:r>
                  <w:r w:rsidRPr="00145F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odzaje i konsekwencje wadliwości czynności procesowych. Terminy.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145F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Doręczenia.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D</w:t>
                  </w:r>
                  <w:r w:rsidRPr="00145F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okumentowanie czynności procesowych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9" w:type="pct"/>
                </w:tcPr>
                <w:p w:rsidR="005543F1" w:rsidRPr="00145FDC" w:rsidRDefault="00145FDC" w:rsidP="00D65A11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45FDC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Przesłanki procesowe</w:t>
                  </w:r>
                  <w:r w:rsidR="006219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Pojęcie, funkcja i systematyka. </w:t>
                  </w:r>
                  <w:r w:rsidR="00621954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R</w:t>
                  </w:r>
                  <w:r w:rsidR="009E57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ozwiązywanie kazusów.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099" w:type="pct"/>
                </w:tcPr>
                <w:p w:rsidR="005543F1" w:rsidRPr="00D3596B" w:rsidRDefault="00621954" w:rsidP="003F6ADC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Z</w:t>
                  </w:r>
                  <w:r w:rsidRPr="007B5F32">
                    <w:rPr>
                      <w:rFonts w:asciiTheme="minorHAnsi" w:hAnsiTheme="minorHAnsi" w:cstheme="minorHAnsi"/>
                      <w:sz w:val="24"/>
                      <w:szCs w:val="24"/>
                    </w:rPr>
                    <w:t>akazy dowo</w:t>
                  </w:r>
                  <w:r w:rsidR="00A0604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dowe – znaczenie i klasyfikacja. </w:t>
                  </w:r>
                  <w:r w:rsidR="003F6AD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Poszczególne zakazy dowodowe. </w:t>
                  </w:r>
                  <w:r w:rsidR="00A0604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Kazusy. </w:t>
                  </w:r>
                </w:p>
              </w:tc>
              <w:tc>
                <w:tcPr>
                  <w:tcW w:w="547" w:type="pct"/>
                </w:tcPr>
                <w:p w:rsidR="005543F1" w:rsidRDefault="003016A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F6ADC" w:rsidTr="003B7564">
              <w:tc>
                <w:tcPr>
                  <w:tcW w:w="354" w:type="pct"/>
                </w:tcPr>
                <w:p w:rsidR="003F6ADC" w:rsidRDefault="00B4035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9" w:type="pct"/>
                </w:tcPr>
                <w:p w:rsidR="003F6ADC" w:rsidRDefault="003F6ADC" w:rsidP="00A0604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359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Postępowanie dowodowe (część szczególna).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Biegli, tłumacze, specjaliści.</w:t>
                  </w:r>
                  <w:r w:rsidRPr="00D3596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Ś</w:t>
                  </w:r>
                  <w:r w:rsidRPr="00D3596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wiadek anonimowy, świadek koronny.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</w:t>
                  </w:r>
                  <w:r w:rsidRPr="00D3596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ywiad środowiskowy.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O</w:t>
                  </w:r>
                  <w:r w:rsidRPr="00D3596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ględziny i otwarcie zwłok.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W</w:t>
                  </w:r>
                  <w:r w:rsidRPr="00D3596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izja lokalna.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Pr="00D359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ksperyment procesowy. Okazanie.</w:t>
                  </w:r>
                </w:p>
              </w:tc>
              <w:tc>
                <w:tcPr>
                  <w:tcW w:w="547" w:type="pct"/>
                </w:tcPr>
                <w:p w:rsidR="003F6ADC" w:rsidRDefault="003F6AD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B4035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9" w:type="pct"/>
                </w:tcPr>
                <w:p w:rsidR="005543F1" w:rsidRPr="00CE19B0" w:rsidRDefault="00CE19B0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E1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Kolokwium</w:t>
                  </w:r>
                  <w:r w:rsidR="00546CC2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Powtórzenie najważniejszych zagadnień obejmujących część ogólną postępowania karnego.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B4035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9" w:type="pct"/>
                </w:tcPr>
                <w:p w:rsidR="005543F1" w:rsidRPr="00426625" w:rsidRDefault="00546CC2" w:rsidP="00546CC2">
                  <w:pPr>
                    <w:spacing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2662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Poszczególne środki zapobiegawcze: szczegółowe nakazy i zakazy </w:t>
                  </w:r>
                  <w:r w:rsidRPr="0042662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określonego zachowania się oskarżonego określone w art. 276 k.p.k.</w:t>
                  </w:r>
                  <w:r w:rsidRPr="0042662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</w:t>
                  </w:r>
                  <w:r w:rsidRPr="0042662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nakaz opuszczenia lokalu zajmowanego wspólnie z pokrzywdzonym</w:t>
                  </w:r>
                  <w:r w:rsidRPr="0042662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</w:t>
                  </w:r>
                  <w:r w:rsidRPr="0042662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zakaz opuszczania kraju. </w:t>
                  </w:r>
                  <w:r w:rsidRPr="00426625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Pozostałe środki przymusu: list żelazny, kary porządkowe, policja sesyjna, zabezpieczenie majątkowe. poszukiwanie oskarżonego i list gończy</w:t>
                  </w:r>
                  <w:r w:rsidRPr="0042662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543F1" w:rsidRDefault="00546CC2" w:rsidP="003B7564">
                  <w:pPr>
                    <w:spacing w:after="0" w:line="240" w:lineRule="auto"/>
                    <w:ind w:right="-1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9" w:type="pct"/>
                </w:tcPr>
                <w:p w:rsidR="005543F1" w:rsidRPr="003A739C" w:rsidRDefault="003A739C" w:rsidP="003A739C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3A739C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Postępowanie przygotowawcze. Organy i strony postępowania przygotowawczego. Formy postępowania przygotowawczego – śledztwo i dochodzenie (zakres przedmiotowy śledztwa i dochodzenia, organy prowadzące śledztwo i dochodzenie, różnice między śledztwem a dochodzeniem). Etapy postępowania przygotowawczego, postępowanie sprawdzające (art. 307 k.p.k.) i postępowanie w niezbędnym zakresie (art. 308 k.p.k.). Czynności sądu w postępowaniu przygotowawczym. Nadzór prokuratora nad postępowaniem przygotowawczym.</w:t>
                  </w:r>
                </w:p>
              </w:tc>
              <w:tc>
                <w:tcPr>
                  <w:tcW w:w="547" w:type="pct"/>
                </w:tcPr>
                <w:p w:rsidR="005543F1" w:rsidRDefault="003F6AD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9" w:type="pct"/>
                </w:tcPr>
                <w:p w:rsidR="005543F1" w:rsidRPr="00426625" w:rsidRDefault="00946434" w:rsidP="000522B3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2662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R</w:t>
                  </w:r>
                  <w:r w:rsidR="00C075F6" w:rsidRPr="0042662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ozprawa główna. </w:t>
                  </w:r>
                  <w:r w:rsidRPr="00426625"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C075F6" w:rsidRPr="00426625">
                    <w:rPr>
                      <w:rFonts w:asciiTheme="minorHAnsi" w:hAnsiTheme="minorHAnsi" w:cstheme="minorHAnsi"/>
                      <w:sz w:val="24"/>
                      <w:szCs w:val="24"/>
                    </w:rPr>
                    <w:t>unkcje rozprawy głównej.</w:t>
                  </w:r>
                  <w:r w:rsidRPr="0042662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P</w:t>
                  </w:r>
                  <w:r w:rsidR="00C075F6"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rzygotowanie do rozprawy głównej</w:t>
                  </w:r>
                  <w:r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42662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R</w:t>
                  </w:r>
                  <w:r w:rsidR="00C075F6"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ozpoczęcie rozprawy głównej</w:t>
                  </w:r>
                  <w:r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C075F6"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P</w:t>
                  </w:r>
                  <w:r w:rsidR="00C075F6"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ojęcie i przebieg przewodu sądowego</w:t>
                  </w:r>
                  <w:r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42662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0522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0522B3"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łosy stron. </w:t>
                  </w:r>
                  <w:r w:rsidR="000522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N</w:t>
                  </w:r>
                  <w:r w:rsidR="000522B3" w:rsidRPr="004C436F">
                    <w:rPr>
                      <w:rFonts w:asciiTheme="minorHAnsi" w:hAnsiTheme="minorHAnsi" w:cstheme="minorHAnsi"/>
                      <w:sz w:val="24"/>
                      <w:szCs w:val="24"/>
                    </w:rPr>
                    <w:t>arada i wyrokowanie</w:t>
                  </w:r>
                  <w:r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C075F6" w:rsidRPr="0042662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26625" w:rsidRPr="00426625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Praca z kazusami z postępowania przygotowawczego i postępowania głównego.</w:t>
                  </w:r>
                </w:p>
              </w:tc>
              <w:tc>
                <w:tcPr>
                  <w:tcW w:w="547" w:type="pct"/>
                </w:tcPr>
                <w:p w:rsidR="005543F1" w:rsidRDefault="000522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99" w:type="pct"/>
                </w:tcPr>
                <w:p w:rsidR="00426625" w:rsidRPr="00B8525C" w:rsidRDefault="00426625" w:rsidP="000E21A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Środki odwoławcze. Pojęcie i systematyka środków odwoławczych.</w:t>
                  </w:r>
                  <w:r w:rsidR="00B8525C"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Postępowanie apelacyjne:</w:t>
                  </w:r>
                  <w:r w:rsidR="00B8525C"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specyfika postępowania przed sądem II instancji</w:t>
                  </w:r>
                  <w:r w:rsidR="00B8525C"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</w:t>
                  </w:r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orzekanie o dopuszczalności apelacji</w:t>
                  </w:r>
                  <w:r w:rsidR="00B8525C"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</w:t>
                  </w:r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wyroki sądu apelacyjnego</w:t>
                  </w:r>
                  <w:r w:rsidR="00B8525C"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Zażalenie jako środek odwoławczy i postępowanie zażaleniowe</w:t>
                  </w:r>
                  <w:r w:rsidR="00B8525C"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Dopuszczalność zażalenia</w:t>
                  </w:r>
                  <w:r w:rsidR="00B8525C"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Tryb wnoszenia zażalenia i warunki formalne</w:t>
                  </w:r>
                  <w:r w:rsidR="00B8525C"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Orzekanie co do meritum zażalenia – tryb oraz rodzaje rozstrzygnięć</w:t>
                  </w:r>
                  <w:r w:rsidR="00B8525C"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. P</w:t>
                  </w:r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raca w grupach – sporządzenie projektu </w:t>
                  </w:r>
                  <w:bookmarkStart w:id="0" w:name="_GoBack"/>
                  <w:bookmarkEnd w:id="0"/>
                  <w:r w:rsidRP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apelacji lub zażalenia na podstawie kazusu</w:t>
                  </w:r>
                  <w:r w:rsidR="00B8525C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  <w:p w:rsidR="005543F1" w:rsidRPr="00FA275A" w:rsidRDefault="005543F1" w:rsidP="00FA275A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4099" w:type="pct"/>
                </w:tcPr>
                <w:p w:rsidR="005543F1" w:rsidRPr="00A026E8" w:rsidRDefault="000E21AF" w:rsidP="00A026E8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E1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Kolokwium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. Powtórzenie najważniejszych zagadnień obejmujących część ogólną postępowania karnego.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99" w:type="pct"/>
                </w:tcPr>
                <w:p w:rsidR="005543F1" w:rsidRPr="00FA275A" w:rsidRDefault="000E21AF" w:rsidP="000E21AF">
                  <w:pPr>
                    <w:spacing w:line="240" w:lineRule="auto"/>
                    <w:rPr>
                      <w:rFonts w:asciiTheme="minorHAnsi" w:hAnsi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026E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Postępowania szczególne. </w:t>
                  </w:r>
                  <w:r w:rsidRPr="00A026E8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Pojęcie, istota i rodzaje postępowań szczególnych. Postępowanie uproszczone. Postępowanie z oskarżenia prywatnego</w:t>
                  </w:r>
                  <w:r w:rsidRPr="00A026E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  <w:r w:rsidRPr="00A026E8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Postępowanie nakazowe. Postępowanie przyśpieszone</w:t>
                  </w:r>
                  <w:r w:rsidRPr="00A026E8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354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99" w:type="pct"/>
                </w:tcPr>
                <w:p w:rsidR="005543F1" w:rsidRPr="00CA5307" w:rsidRDefault="00CA5307" w:rsidP="00CA5307">
                  <w:pPr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A53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Postępowanie po uprawomocnieniu się orzeczenia.</w:t>
                  </w:r>
                  <w:r w:rsidRPr="00CA53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CA53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Podjęcie postępowania warunkowo umorzonego.</w:t>
                  </w:r>
                  <w:r w:rsidRPr="00CA53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CA53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Zasady i podstawy odpowiedzialności za niesłuszne skazanie oraz niewątpliwie niesłuszne tymczasowe aresztowanie i zatrzymanie. Postępowanie w przedmiocie odszkodowania za niesłuszne pozbawienie wolności</w:t>
                  </w:r>
                  <w:r w:rsidRPr="00CA53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. </w:t>
                  </w:r>
                  <w:r w:rsidRPr="00CA53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Postępowanie </w:t>
                  </w:r>
                  <w:proofErr w:type="spellStart"/>
                  <w:r w:rsidRPr="00CA53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ułaskawieniowe</w:t>
                  </w:r>
                  <w:proofErr w:type="spellEnd"/>
                  <w:r w:rsidRPr="00CA53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. </w:t>
                  </w:r>
                  <w:r w:rsidRPr="00CA53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Warunki wydania wyroku łącznego, wyrok łączny a kara łączna</w:t>
                  </w:r>
                  <w:r w:rsidRPr="00CA53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. </w:t>
                  </w:r>
                  <w:r w:rsidRPr="00CA53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Tryb orzekania w przedmiocie wydania wyroku łącznego</w:t>
                  </w:r>
                  <w:r w:rsidRPr="00CA53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. </w:t>
                  </w:r>
                  <w:r w:rsidRPr="00CA53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Skarga na przewlekłość postępowania karnego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7" w:type="pct"/>
                </w:tcPr>
                <w:p w:rsidR="005543F1" w:rsidRDefault="005543F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543F1" w:rsidTr="003B7564">
              <w:tc>
                <w:tcPr>
                  <w:tcW w:w="4453" w:type="pct"/>
                  <w:gridSpan w:val="2"/>
                </w:tcPr>
                <w:p w:rsidR="005543F1" w:rsidRPr="00523269" w:rsidRDefault="003F6ADC" w:rsidP="003B756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Suma godzin: (wykłady 40</w:t>
                  </w:r>
                  <w:r w:rsidR="009E3970">
                    <w:rPr>
                      <w:b/>
                      <w:sz w:val="24"/>
                      <w:szCs w:val="24"/>
                    </w:rPr>
                    <w:t xml:space="preserve"> godzin</w:t>
                  </w:r>
                  <w:r>
                    <w:rPr>
                      <w:b/>
                      <w:sz w:val="24"/>
                      <w:szCs w:val="24"/>
                    </w:rPr>
                    <w:t>, ćwiczenia 32</w:t>
                  </w:r>
                  <w:r w:rsidR="005543F1" w:rsidRPr="003B7564">
                    <w:rPr>
                      <w:b/>
                      <w:sz w:val="24"/>
                      <w:szCs w:val="24"/>
                    </w:rPr>
                    <w:t xml:space="preserve"> godzin</w:t>
                  </w:r>
                  <w:r w:rsidR="0038633D">
                    <w:rPr>
                      <w:b/>
                      <w:sz w:val="24"/>
                      <w:szCs w:val="24"/>
                    </w:rPr>
                    <w:t>y</w:t>
                  </w:r>
                  <w:r w:rsidR="005543F1" w:rsidRPr="003B7564">
                    <w:rPr>
                      <w:b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47" w:type="pct"/>
                </w:tcPr>
                <w:p w:rsidR="005543F1" w:rsidRDefault="00B4035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1C2D40" w:rsidRDefault="001C2D40">
            <w:pPr>
              <w:spacing w:after="0" w:line="240" w:lineRule="auto"/>
              <w:rPr>
                <w:sz w:val="24"/>
                <w:szCs w:val="24"/>
              </w:rPr>
            </w:pPr>
          </w:p>
          <w:p w:rsidR="009741C5" w:rsidRDefault="009741C5" w:rsidP="000F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B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9B5" w:rsidRDefault="00AE3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B5" w:rsidRDefault="00AE3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:rsidR="00EC3236" w:rsidRDefault="00EC323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J. Skorupka (red.), </w:t>
            </w:r>
            <w:r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Postępowanie karne. Część ogólna,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Warszawa 2012</w:t>
            </w:r>
          </w:p>
          <w:p w:rsidR="00EC3236" w:rsidRPr="00EC3236" w:rsidRDefault="00EC323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J. Skorupka (red.), </w:t>
            </w:r>
            <w:r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Postępowanie karne. Część szczególna,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Warszawa 2013</w:t>
            </w:r>
          </w:p>
          <w:p w:rsidR="00EC3236" w:rsidRPr="00EC3236" w:rsidRDefault="00EC3236" w:rsidP="00EC323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J. Skorupka (red.), </w:t>
            </w:r>
            <w:r>
              <w:rPr>
                <w:rFonts w:asciiTheme="minorHAnsi" w:eastAsia="Times New Roman" w:hAnsiTheme="minorHAnsi"/>
                <w:i/>
                <w:sz w:val="24"/>
                <w:szCs w:val="24"/>
              </w:rPr>
              <w:t xml:space="preserve">Postępowanie karne. Materiały do ćwiczeń,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Warszawa 2011</w:t>
            </w:r>
          </w:p>
          <w:p w:rsidR="009741C5" w:rsidRDefault="00974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41C5" w:rsidRDefault="0077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:rsidR="00B40351" w:rsidRDefault="00B403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7FC1">
              <w:rPr>
                <w:rFonts w:cs="Calibri"/>
                <w:sz w:val="24"/>
                <w:szCs w:val="24"/>
              </w:rPr>
              <w:t xml:space="preserve">T. Grzegorczyk, J. Tylman, </w:t>
            </w:r>
            <w:r w:rsidRPr="00C00CA6">
              <w:rPr>
                <w:rFonts w:asciiTheme="minorHAnsi" w:hAnsiTheme="minorHAnsi" w:cstheme="minorHAnsi"/>
                <w:i/>
                <w:sz w:val="24"/>
                <w:szCs w:val="24"/>
              </w:rPr>
              <w:t>Polskie postępowanie karne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wyd. 9, Warszawa 2014</w:t>
            </w:r>
          </w:p>
          <w:p w:rsidR="00C00CA6" w:rsidRPr="00D87FC1" w:rsidRDefault="00C00CA6" w:rsidP="00B4035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FC1">
              <w:rPr>
                <w:rFonts w:cs="Calibri"/>
                <w:sz w:val="24"/>
                <w:szCs w:val="24"/>
              </w:rPr>
              <w:t xml:space="preserve">S. Waltoś, </w:t>
            </w:r>
            <w:r w:rsidRPr="00D87FC1"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proofErr w:type="spellStart"/>
            <w:r w:rsidRPr="00D87FC1">
              <w:rPr>
                <w:rFonts w:asciiTheme="minorHAnsi" w:hAnsiTheme="minorHAnsi" w:cstheme="minorHAnsi"/>
                <w:sz w:val="24"/>
                <w:szCs w:val="24"/>
              </w:rPr>
              <w:t>Hofmański</w:t>
            </w:r>
            <w:proofErr w:type="spellEnd"/>
            <w:r w:rsidRPr="00D87F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C00CA6">
              <w:rPr>
                <w:rFonts w:cs="Calibri"/>
                <w:i/>
                <w:sz w:val="24"/>
                <w:szCs w:val="24"/>
              </w:rPr>
              <w:t>Proces kar</w:t>
            </w:r>
            <w:r w:rsidRPr="00C00CA6">
              <w:rPr>
                <w:rFonts w:asciiTheme="minorHAnsi" w:hAnsiTheme="minorHAnsi" w:cstheme="minorHAnsi"/>
                <w:i/>
                <w:sz w:val="24"/>
                <w:szCs w:val="24"/>
              </w:rPr>
              <w:t>ny. Zarys systemu</w:t>
            </w:r>
            <w:r w:rsidRPr="00D87F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40351">
              <w:rPr>
                <w:rFonts w:asciiTheme="minorHAnsi" w:hAnsiTheme="minorHAnsi" w:cstheme="minorHAnsi"/>
                <w:sz w:val="24"/>
                <w:szCs w:val="24"/>
              </w:rPr>
              <w:t xml:space="preserve">wyd. 11, </w:t>
            </w:r>
            <w:r w:rsidRPr="00D87FC1">
              <w:rPr>
                <w:rFonts w:asciiTheme="minorHAnsi" w:hAnsiTheme="minorHAnsi" w:cstheme="minorHAnsi"/>
                <w:sz w:val="24"/>
                <w:szCs w:val="24"/>
              </w:rPr>
              <w:t>Warszawa 2013</w:t>
            </w:r>
          </w:p>
          <w:p w:rsidR="00712DB0" w:rsidRDefault="00712DB0" w:rsidP="00712D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 Marszał</w:t>
            </w:r>
            <w:r w:rsidRPr="00D87F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Proces karny. Zagadnienia ogólne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Katowice</w:t>
            </w:r>
            <w:r w:rsidRPr="00D87FC1">
              <w:rPr>
                <w:rFonts w:asciiTheme="minorHAnsi" w:hAnsiTheme="minorHAnsi" w:cstheme="minorHAnsi"/>
                <w:sz w:val="24"/>
                <w:szCs w:val="24"/>
              </w:rPr>
              <w:t xml:space="preserve"> 2013</w:t>
            </w:r>
          </w:p>
          <w:p w:rsidR="00C00CA6" w:rsidRDefault="00712DB0" w:rsidP="00C00C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K. Marszał (red.),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Proces karny. Przebieg postępowania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Katowice 2012</w:t>
            </w:r>
          </w:p>
          <w:p w:rsidR="005A78DE" w:rsidRDefault="005A78DE" w:rsidP="00C0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Akty Prawne:</w:t>
            </w:r>
          </w:p>
          <w:p w:rsidR="009B566A" w:rsidRDefault="009B566A" w:rsidP="009B566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F4D58">
              <w:rPr>
                <w:rFonts w:asciiTheme="minorHAnsi" w:eastAsia="Times New Roman" w:hAnsiTheme="minorHAnsi" w:cstheme="minorHAnsi"/>
                <w:sz w:val="24"/>
                <w:szCs w:val="24"/>
              </w:rPr>
              <w:t>KONSTYT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UCJA RZECZYPOSPOLITEJ POLSKIEJ z dnia 2 kwietnia 1997 r.</w:t>
            </w:r>
          </w:p>
          <w:p w:rsidR="009B566A" w:rsidRDefault="009B566A" w:rsidP="009B56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EUROPEJSKA KONWENCJA O OCHRONIE PRAW CZŁOWIEKA I PODSTAWOWYCH WOLNOŚCI z dnia 4 listopada 1950 r.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Dz.U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z 1993 r. Nr</w:t>
            </w:r>
            <w:r w:rsidR="00C66F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61, poz. 284) wraz z Protokołem 7 do Europejskiej Konwencji o Ochronie Praw Człowieka i Podstawowych Wolności z dnia 22 listopada 1984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Dz.U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z 2003 r. Nr 42, poz. 364)</w:t>
            </w:r>
          </w:p>
          <w:p w:rsidR="009B566A" w:rsidRDefault="009B566A" w:rsidP="009B56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MIEDZYNARODOWY PAKT PRAW OBYWATELSKICH I POLITYCZNYCH z dnia 19 grudnia 1966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Dz.U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z 1977 r. Nr 38, poz. 167)</w:t>
            </w:r>
          </w:p>
          <w:p w:rsidR="009B566A" w:rsidRPr="00D319DC" w:rsidRDefault="009B566A" w:rsidP="00D319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319DC">
              <w:rPr>
                <w:rFonts w:asciiTheme="minorHAnsi" w:hAnsiTheme="minorHAnsi" w:cstheme="minorHAnsi"/>
                <w:sz w:val="24"/>
                <w:szCs w:val="24"/>
              </w:rPr>
              <w:t>KODEKS POSTĘPOWANIA KARNEGO</w:t>
            </w:r>
            <w:r w:rsidR="009E5787" w:rsidRPr="00D319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19D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 dnia 6 czerwca 1997 r. </w:t>
            </w:r>
            <w:hyperlink r:id="rId5" w:history="1"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(</w:t>
              </w:r>
              <w:proofErr w:type="spellStart"/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Dz.U</w:t>
              </w:r>
              <w:proofErr w:type="spellEnd"/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. Nr 89, poz. 555</w:t>
              </w:r>
              <w:r w:rsidR="00B40351"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, ze zmianami Dz. U. z 2013 r. poz. 1247 oraz Dz. U. z 2015 r. poz. 396; Dz. U. z 2015 r. poz. 1185; Dz. U. z 2015 r. poz. 1186</w:t>
              </w:r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)</w:t>
              </w:r>
            </w:hyperlink>
          </w:p>
          <w:p w:rsidR="0017018D" w:rsidRPr="00D319DC" w:rsidRDefault="009B566A" w:rsidP="00D319DC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</w:pPr>
            <w:r w:rsidRPr="00D319DC">
              <w:rPr>
                <w:rFonts w:asciiTheme="minorHAnsi" w:hAnsiTheme="minorHAnsi" w:cstheme="minorHAnsi"/>
                <w:caps/>
                <w:sz w:val="24"/>
                <w:szCs w:val="24"/>
              </w:rPr>
              <w:t xml:space="preserve">PRAWO O USTROJU SĄDÓW POWSZECHNYCH </w:t>
            </w:r>
            <w:r w:rsidRPr="00D319DC">
              <w:rPr>
                <w:rFonts w:asciiTheme="minorHAnsi" w:hAnsiTheme="minorHAnsi" w:cstheme="minorHAnsi"/>
                <w:sz w:val="24"/>
                <w:szCs w:val="24"/>
              </w:rPr>
              <w:t>z dnia 27 lipca 2001 r.</w:t>
            </w:r>
            <w:r w:rsidRPr="00D319DC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 </w:t>
            </w:r>
            <w:hyperlink r:id="rId6" w:history="1">
              <w:r w:rsidRPr="00D319DC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(</w:t>
              </w:r>
              <w:proofErr w:type="spellStart"/>
              <w:r w:rsidRPr="00D319DC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Dz.U</w:t>
              </w:r>
              <w:proofErr w:type="spellEnd"/>
              <w:r w:rsidRPr="00D319DC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. Nr 98, poz. 1070)</w:t>
              </w:r>
            </w:hyperlink>
            <w:r w:rsidR="0017018D" w:rsidRPr="00D319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0351"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16 stycznia 2015 r.</w:t>
            </w:r>
            <w:r w:rsidR="00B40351"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40351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B40351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Dz.U</w:t>
            </w:r>
            <w:proofErr w:type="spellEnd"/>
            <w:r w:rsidR="00B40351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. z 2015 r. poz. 133</w:t>
            </w:r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9B566A" w:rsidRPr="00D319DC" w:rsidRDefault="009B566A" w:rsidP="00D319DC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bCs/>
                <w:color w:val="auto"/>
                <w:sz w:val="24"/>
                <w:szCs w:val="24"/>
                <w:u w:val="none"/>
              </w:rPr>
            </w:pPr>
            <w:r w:rsidRPr="00D319DC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>USTAWA</w:t>
            </w:r>
            <w:r w:rsidRPr="00D319DC">
              <w:rPr>
                <w:rStyle w:val="apple-converted-space"/>
                <w:rFonts w:asciiTheme="minorHAnsi" w:hAnsiTheme="minorHAnsi" w:cstheme="minorHAnsi"/>
                <w:caps/>
                <w:sz w:val="24"/>
                <w:szCs w:val="24"/>
              </w:rPr>
              <w:t> </w:t>
            </w:r>
            <w:bookmarkStart w:id="1" w:name="highlightHit_1"/>
            <w:bookmarkEnd w:id="1"/>
            <w:r w:rsidRPr="00D319DC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>O</w:t>
            </w:r>
            <w:r w:rsidRPr="00D319DC">
              <w:rPr>
                <w:rStyle w:val="apple-converted-space"/>
                <w:rFonts w:asciiTheme="minorHAnsi" w:hAnsiTheme="minorHAnsi" w:cstheme="minorHAnsi"/>
                <w:caps/>
                <w:sz w:val="24"/>
                <w:szCs w:val="24"/>
              </w:rPr>
              <w:t> </w:t>
            </w:r>
            <w:bookmarkStart w:id="2" w:name="highlightHit_2"/>
            <w:bookmarkEnd w:id="2"/>
            <w:r w:rsidRPr="00D319DC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 xml:space="preserve">PROKURATURZE </w:t>
            </w:r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>z dnia 20 czerwca 1985 r.</w:t>
            </w:r>
            <w:r w:rsidRPr="00D319DC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hyperlink r:id="rId7" w:history="1">
              <w:r w:rsidR="0017018D" w:rsidRPr="00D319DC">
                <w:rPr>
                  <w:rFonts w:asciiTheme="minorHAnsi" w:hAnsiTheme="minorHAnsi"/>
                  <w:bCs/>
                  <w:sz w:val="24"/>
                  <w:szCs w:val="24"/>
                </w:rPr>
                <w:t>(</w:t>
              </w:r>
              <w:proofErr w:type="spellStart"/>
              <w:r w:rsidR="0017018D" w:rsidRPr="00D319DC">
                <w:rPr>
                  <w:rFonts w:asciiTheme="minorHAnsi" w:hAnsiTheme="minorHAnsi"/>
                  <w:bCs/>
                  <w:sz w:val="24"/>
                  <w:szCs w:val="24"/>
                </w:rPr>
                <w:t>Dz.U</w:t>
              </w:r>
              <w:proofErr w:type="spellEnd"/>
              <w:r w:rsidR="0017018D" w:rsidRPr="00D319DC">
                <w:rPr>
                  <w:rFonts w:asciiTheme="minorHAnsi" w:hAnsiTheme="minorHAnsi"/>
                  <w:bCs/>
                  <w:sz w:val="24"/>
                  <w:szCs w:val="24"/>
                </w:rPr>
                <w:t>. Nr 270, poz. 1599,</w:t>
              </w:r>
            </w:hyperlink>
            <w:r w:rsidR="0017018D" w:rsidRPr="00D319DC">
              <w:rPr>
                <w:rFonts w:asciiTheme="minorHAnsi" w:hAnsiTheme="minorHAnsi"/>
                <w:sz w:val="24"/>
                <w:szCs w:val="24"/>
              </w:rPr>
              <w:t xml:space="preserve"> ze zm.)</w:t>
            </w:r>
          </w:p>
          <w:p w:rsidR="009B566A" w:rsidRPr="00D319DC" w:rsidRDefault="009B566A" w:rsidP="00D319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PRAWO O ADWOKATURZE z dnia 26 maja 1982 </w:t>
            </w:r>
            <w:r w:rsidR="0017018D"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8 kwietnia 2015 r.</w:t>
            </w:r>
            <w:r w:rsidR="0017018D"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Dz.U</w:t>
            </w:r>
            <w:proofErr w:type="spellEnd"/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. z 2015 r. poz. 615)</w:t>
            </w:r>
          </w:p>
          <w:p w:rsidR="009B566A" w:rsidRPr="00D319DC" w:rsidRDefault="009B566A" w:rsidP="00D319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USTAWA O RADCACH PRAWNYCH z dnia 6 lipca 1982 </w:t>
            </w:r>
            <w:r w:rsidR="0017018D"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18 marca 2015 r.</w:t>
            </w:r>
            <w:r w:rsidR="0017018D"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Dz.U</w:t>
            </w:r>
            <w:proofErr w:type="spellEnd"/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. z 2015 r. poz. 507)</w:t>
            </w:r>
          </w:p>
          <w:p w:rsidR="009B566A" w:rsidRPr="00D319DC" w:rsidRDefault="009B566A" w:rsidP="00D319DC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bCs/>
                <w:color w:val="auto"/>
                <w:sz w:val="24"/>
                <w:szCs w:val="24"/>
                <w:u w:val="none"/>
              </w:rPr>
            </w:pPr>
            <w:r w:rsidRPr="00D319DC">
              <w:rPr>
                <w:rFonts w:asciiTheme="minorHAnsi" w:hAnsiTheme="minorHAnsi" w:cstheme="minorHAnsi"/>
                <w:caps/>
                <w:sz w:val="24"/>
                <w:szCs w:val="24"/>
              </w:rPr>
              <w:t>USTAWA</w:t>
            </w:r>
            <w:r w:rsidRPr="00D319DC">
              <w:rPr>
                <w:rStyle w:val="apple-converted-space"/>
                <w:rFonts w:asciiTheme="minorHAnsi" w:hAnsiTheme="minorHAnsi" w:cstheme="minorHAnsi"/>
                <w:caps/>
                <w:sz w:val="24"/>
                <w:szCs w:val="24"/>
              </w:rPr>
              <w:t> </w:t>
            </w:r>
            <w:bookmarkStart w:id="3" w:name="highlightHit_0"/>
            <w:bookmarkEnd w:id="3"/>
            <w:r w:rsidRPr="00D319DC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>O ŚWIADKU KORONNYM</w:t>
            </w:r>
            <w:r w:rsidR="009E5787" w:rsidRPr="00D319DC">
              <w:rPr>
                <w:rStyle w:val="highlight"/>
                <w:rFonts w:asciiTheme="minorHAnsi" w:hAnsiTheme="minorHAnsi" w:cstheme="minorHAnsi"/>
                <w:caps/>
                <w:sz w:val="24"/>
                <w:szCs w:val="24"/>
              </w:rPr>
              <w:t xml:space="preserve"> </w:t>
            </w:r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>z dnia 25 czerwca 1997 r.</w:t>
            </w:r>
            <w:r w:rsidRPr="00D319DC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hyperlink r:id="rId8" w:history="1">
              <w:r w:rsidRPr="00D319DC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  <w:u w:val="none"/>
                </w:rPr>
                <w:t>(</w:t>
              </w:r>
              <w:proofErr w:type="spellStart"/>
              <w:r w:rsidRPr="00D319DC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  <w:u w:val="none"/>
                </w:rPr>
                <w:t>Dz.U</w:t>
              </w:r>
              <w:proofErr w:type="spellEnd"/>
              <w:r w:rsidRPr="00D319DC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4"/>
                  <w:szCs w:val="24"/>
                  <w:u w:val="none"/>
                </w:rPr>
                <w:t>. Nr 114, poz. 738)</w:t>
              </w:r>
            </w:hyperlink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7018D"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2 grudnia 2014 r.</w:t>
            </w:r>
            <w:r w:rsidR="0017018D"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Dz.U</w:t>
            </w:r>
            <w:proofErr w:type="spellEnd"/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. z 2014 r. poz. 1801)</w:t>
            </w:r>
          </w:p>
          <w:p w:rsidR="009B566A" w:rsidRPr="00D319DC" w:rsidRDefault="009B566A" w:rsidP="00D319D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1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USTAWA O ODPOWIEDZIALNOŚCI PODMIOTÓW ZBIOROWYCH ZA CZYNY ZABRONIONE POD GROŹBĄ KARY z dnia 28 października 2002 r. </w:t>
            </w:r>
            <w:r w:rsidR="0017018D"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tj. z dnia 31 lipca 2015 r.</w:t>
            </w:r>
            <w:r w:rsidR="0017018D"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Dz.U</w:t>
            </w:r>
            <w:proofErr w:type="spellEnd"/>
            <w:r w:rsidR="0017018D"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. z 2015 r. poz. 1212)</w:t>
            </w:r>
          </w:p>
          <w:p w:rsidR="009B566A" w:rsidRPr="00D319DC" w:rsidRDefault="009B566A" w:rsidP="00D319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319DC">
              <w:rPr>
                <w:rFonts w:asciiTheme="minorHAnsi" w:eastAsia="Times New Roman" w:hAnsiTheme="minorHAnsi" w:cstheme="minorHAnsi"/>
                <w:bCs/>
                <w:caps/>
                <w:kern w:val="36"/>
                <w:sz w:val="24"/>
                <w:szCs w:val="24"/>
                <w:lang w:eastAsia="pl-PL"/>
              </w:rPr>
              <w:t>USTAWA O PAŃSTWOWEJ KOMPENSACIE PRZYSŁUGUJĄCEJ OFIAROM NIEKTÓRYCH PRZESTĘPSTW</w:t>
            </w:r>
            <w:r w:rsidR="009E5787" w:rsidRPr="00D319DC">
              <w:rPr>
                <w:rFonts w:asciiTheme="minorHAnsi" w:eastAsia="Times New Roman" w:hAnsiTheme="minorHAnsi" w:cstheme="minorHAnsi"/>
                <w:bCs/>
                <w:caps/>
                <w:kern w:val="36"/>
                <w:sz w:val="24"/>
                <w:szCs w:val="24"/>
                <w:lang w:eastAsia="pl-PL"/>
              </w:rPr>
              <w:t xml:space="preserve"> </w:t>
            </w:r>
            <w:r w:rsidRPr="00D319D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 dnia 7 lipca 2005 r. </w:t>
            </w:r>
            <w:hyperlink r:id="rId9" w:history="1"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(</w:t>
              </w:r>
              <w:proofErr w:type="spellStart"/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Dz.U</w:t>
              </w:r>
              <w:proofErr w:type="spellEnd"/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. Nr 169, poz. 1415)</w:t>
              </w:r>
            </w:hyperlink>
          </w:p>
          <w:p w:rsidR="009B566A" w:rsidRPr="00D319DC" w:rsidRDefault="009B566A" w:rsidP="00D319D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319DC">
              <w:rPr>
                <w:rFonts w:asciiTheme="minorHAnsi" w:eastAsia="Times New Roman" w:hAnsiTheme="minorHAnsi" w:cstheme="minorHAnsi"/>
                <w:bCs/>
                <w:caps/>
                <w:kern w:val="36"/>
                <w:sz w:val="24"/>
                <w:szCs w:val="24"/>
                <w:lang w:eastAsia="pl-PL"/>
              </w:rPr>
              <w:t>USTAWA O SKARDZE NA NARUSZENIE PRAWA STRONY DO ROZPOZNANIA SPRAWY W POSTĘPOWANIU PRZYGOTOWAWCZYM PROWADZONYM LUB NADZOROWANYM PRZEZ PROKURATORA I POSTĘPOWANIU SĄDOWYM BEZ NIEUZASADNIONEJ ZWŁOKI</w:t>
            </w:r>
            <w:r w:rsidR="009E5787" w:rsidRPr="00D319DC">
              <w:rPr>
                <w:rFonts w:asciiTheme="minorHAnsi" w:eastAsia="Times New Roman" w:hAnsiTheme="minorHAnsi" w:cstheme="minorHAnsi"/>
                <w:bCs/>
                <w:caps/>
                <w:kern w:val="36"/>
                <w:sz w:val="24"/>
                <w:szCs w:val="24"/>
                <w:lang w:eastAsia="pl-PL"/>
              </w:rPr>
              <w:t xml:space="preserve"> </w:t>
            </w:r>
            <w:r w:rsidRPr="00D319D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z dnia 17 czerwca 2004 r. </w:t>
            </w:r>
            <w:hyperlink r:id="rId10" w:history="1"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(</w:t>
              </w:r>
              <w:proofErr w:type="spellStart"/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Dz.U</w:t>
              </w:r>
              <w:proofErr w:type="spellEnd"/>
              <w:r w:rsidRPr="00D319DC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  <w:lang w:eastAsia="pl-PL"/>
                </w:rPr>
                <w:t>. Nr 179, poz. 1843)</w:t>
              </w:r>
            </w:hyperlink>
          </w:p>
          <w:p w:rsidR="005A78DE" w:rsidRPr="00D319DC" w:rsidRDefault="009B566A" w:rsidP="00D319D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319DC">
              <w:rPr>
                <w:rFonts w:asciiTheme="minorHAnsi" w:hAnsiTheme="minorHAnsi"/>
                <w:sz w:val="24"/>
                <w:szCs w:val="24"/>
              </w:rPr>
              <w:t>USTAWA O UZNANIU ZA NIEWAŻNE ORZECZEŃ WYDANYCH WOBEC OSÓB REPRESJONOWANYCH ZA DZIAŁALNOŚĆ NA RZECZ NIEPODLEGŁEGO BYTU PAŃSTWA POLSKIEGO z dnia 23 lutego 1991 r. (Dz. U. Nr 34, poz. 149 ze zm.)</w:t>
            </w:r>
          </w:p>
          <w:p w:rsidR="0017018D" w:rsidRPr="00D319DC" w:rsidRDefault="0017018D" w:rsidP="00D319DC">
            <w:pPr>
              <w:shd w:val="clear" w:color="auto" w:fill="FFFFFF"/>
              <w:suppressAutoHyphens w:val="0"/>
              <w:spacing w:after="0" w:line="234" w:lineRule="atLeast"/>
              <w:jc w:val="both"/>
              <w:outlineLvl w:val="0"/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</w:pPr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USTAWA O OCHRONIE </w:t>
            </w:r>
            <w:bookmarkStart w:id="4" w:name="highlightHit_3"/>
            <w:bookmarkEnd w:id="4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I </w:t>
            </w:r>
            <w:bookmarkStart w:id="5" w:name="highlightHit_4"/>
            <w:bookmarkEnd w:id="5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POMOCY </w:t>
            </w:r>
            <w:bookmarkStart w:id="6" w:name="highlightHit_5"/>
            <w:bookmarkEnd w:id="6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DLA </w:t>
            </w:r>
            <w:bookmarkStart w:id="7" w:name="highlightHit_6"/>
            <w:bookmarkEnd w:id="7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POKRZYWDZONEGO </w:t>
            </w:r>
            <w:bookmarkStart w:id="8" w:name="highlightHit_7"/>
            <w:bookmarkEnd w:id="8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I </w:t>
            </w:r>
            <w:bookmarkStart w:id="9" w:name="highlightHit_8"/>
            <w:bookmarkEnd w:id="9"/>
            <w:r w:rsidRP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ŚWIADKA</w:t>
            </w:r>
            <w:r w:rsidR="00D319DC">
              <w:rPr>
                <w:rFonts w:asciiTheme="minorHAnsi" w:eastAsia="Times New Roman" w:hAnsiTheme="minorHAnsi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  <w:r w:rsidRPr="00D319DC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z dnia 28 listopada 2014 r.</w:t>
            </w:r>
            <w:r w:rsidRPr="00D319DC">
              <w:rPr>
                <w:rStyle w:val="apple-converted-space"/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Dz.U</w:t>
            </w:r>
            <w:proofErr w:type="spellEnd"/>
            <w:r w:rsidRPr="00D319DC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. z 2015 r. poz. 21)</w:t>
            </w:r>
          </w:p>
          <w:p w:rsidR="0017018D" w:rsidRPr="009E5787" w:rsidRDefault="0017018D" w:rsidP="009B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zaliczenia poszczególnych komponentów przedmiotu/modułu, sposób sprawdzenia osiągnięcia zamierzonych efektów kształcenia:</w:t>
            </w:r>
          </w:p>
          <w:p w:rsidR="009741C5" w:rsidRPr="003B7564" w:rsidRDefault="00775859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7564">
              <w:rPr>
                <w:rFonts w:asciiTheme="minorHAnsi" w:hAnsiTheme="minorHAnsi"/>
                <w:b/>
                <w:sz w:val="24"/>
                <w:szCs w:val="24"/>
              </w:rPr>
              <w:t>egzamin</w:t>
            </w:r>
            <w:r w:rsidR="00EB045B">
              <w:rPr>
                <w:rFonts w:asciiTheme="minorHAnsi" w:hAnsiTheme="minorHAnsi"/>
                <w:b/>
                <w:sz w:val="24"/>
                <w:szCs w:val="24"/>
              </w:rPr>
              <w:t xml:space="preserve"> w formie pisemnej obejmujący: 15 pytań testowych jednokrotnego wyboru (max 30 pkt.), 5 pytań definicyjnych otwartych (max 25 pkt.) oraz </w:t>
            </w:r>
            <w:r w:rsidR="0077318B">
              <w:rPr>
                <w:rFonts w:asciiTheme="minorHAnsi" w:hAnsiTheme="minorHAnsi"/>
                <w:b/>
                <w:sz w:val="24"/>
                <w:szCs w:val="24"/>
              </w:rPr>
              <w:t>kazus sprawdzający umiejętności i kompetencje społeczne</w:t>
            </w:r>
            <w:r w:rsidR="00EB045B">
              <w:rPr>
                <w:rFonts w:asciiTheme="minorHAnsi" w:hAnsiTheme="minorHAnsi"/>
                <w:b/>
                <w:sz w:val="24"/>
                <w:szCs w:val="24"/>
              </w:rPr>
              <w:t xml:space="preserve"> (max 45 pkt.)</w:t>
            </w:r>
          </w:p>
          <w:p w:rsidR="009741C5" w:rsidRPr="003B7564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B7564">
              <w:rPr>
                <w:rFonts w:ascii="Times New Roman" w:hAnsi="Times New Roman"/>
                <w:strike/>
                <w:sz w:val="24"/>
                <w:szCs w:val="24"/>
              </w:rPr>
              <w:t>seminarium:</w:t>
            </w:r>
          </w:p>
          <w:p w:rsidR="009741C5" w:rsidRPr="003B7564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B7564">
              <w:rPr>
                <w:rFonts w:ascii="Times New Roman" w:hAnsi="Times New Roman"/>
                <w:strike/>
                <w:sz w:val="24"/>
                <w:szCs w:val="24"/>
              </w:rPr>
              <w:t>laboratorium:</w:t>
            </w:r>
          </w:p>
          <w:p w:rsidR="009741C5" w:rsidRPr="003B7564" w:rsidRDefault="00775859" w:rsidP="003B7564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konwersatorium: </w:t>
            </w:r>
            <w:r w:rsidR="003B7564" w:rsidRPr="003B7564">
              <w:rPr>
                <w:rFonts w:asciiTheme="minorHAnsi" w:hAnsiTheme="minorHAnsi"/>
                <w:b/>
                <w:sz w:val="24"/>
                <w:szCs w:val="24"/>
              </w:rPr>
              <w:t>kolokwium zaliczeniowe</w:t>
            </w:r>
            <w:r w:rsidR="009E5787">
              <w:rPr>
                <w:rFonts w:asciiTheme="minorHAnsi" w:hAnsiTheme="minorHAnsi"/>
                <w:b/>
                <w:sz w:val="24"/>
                <w:szCs w:val="24"/>
              </w:rPr>
              <w:t xml:space="preserve"> w formie pisemnej</w:t>
            </w:r>
            <w:r w:rsidR="003B7564" w:rsidRPr="003B7564">
              <w:rPr>
                <w:rFonts w:asciiTheme="minorHAnsi" w:hAnsiTheme="minorHAnsi"/>
                <w:b/>
                <w:sz w:val="24"/>
                <w:szCs w:val="24"/>
              </w:rPr>
              <w:t xml:space="preserve"> oraz uzupełniająco obecność</w:t>
            </w:r>
            <w:r w:rsidR="009E5787">
              <w:rPr>
                <w:rFonts w:asciiTheme="minorHAnsi" w:hAnsiTheme="minorHAnsi"/>
                <w:b/>
                <w:sz w:val="24"/>
                <w:szCs w:val="24"/>
              </w:rPr>
              <w:t xml:space="preserve"> na konwersatoriach i aktywność</w:t>
            </w:r>
            <w:r w:rsidR="003B7564" w:rsidRPr="003B7564">
              <w:rPr>
                <w:rFonts w:asciiTheme="minorHAnsi" w:hAnsiTheme="minorHAnsi"/>
                <w:b/>
                <w:sz w:val="24"/>
                <w:szCs w:val="24"/>
              </w:rPr>
              <w:t xml:space="preserve"> studenta w czasie konwersatoriów, k</w:t>
            </w:r>
            <w:r w:rsidR="009E5787">
              <w:rPr>
                <w:rFonts w:asciiTheme="minorHAnsi" w:hAnsiTheme="minorHAnsi"/>
                <w:b/>
                <w:sz w:val="24"/>
                <w:szCs w:val="24"/>
              </w:rPr>
              <w:t>tóra będzie oceniana na bieżąco, w tym rozwiązywanie na ocenę kazusów.</w:t>
            </w:r>
          </w:p>
          <w:p w:rsidR="009741C5" w:rsidRPr="003B7564" w:rsidRDefault="00775859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B7564">
              <w:rPr>
                <w:rFonts w:ascii="Times New Roman" w:hAnsi="Times New Roman"/>
                <w:strike/>
                <w:sz w:val="24"/>
                <w:szCs w:val="24"/>
              </w:rPr>
              <w:t>inne: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1C5" w:rsidRDefault="0077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9741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aktywności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9741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wykład: </w:t>
            </w:r>
            <w:r w:rsidR="00D319DC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  <w:r w:rsidR="00D57F77" w:rsidRPr="00D57F77">
              <w:rPr>
                <w:rFonts w:asciiTheme="minorHAnsi" w:hAnsiTheme="minorHAnsi"/>
                <w:b/>
                <w:sz w:val="24"/>
                <w:szCs w:val="24"/>
              </w:rPr>
              <w:t xml:space="preserve"> godzin</w:t>
            </w:r>
          </w:p>
          <w:p w:rsidR="009741C5" w:rsidRPr="00D57F77" w:rsidRDefault="00775859">
            <w:pPr>
              <w:autoSpaceDE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  <w:r w:rsidR="00D319DC">
              <w:rPr>
                <w:rFonts w:asciiTheme="minorHAnsi" w:hAnsiTheme="minorHAnsi"/>
                <w:b/>
                <w:sz w:val="24"/>
                <w:szCs w:val="24"/>
              </w:rPr>
              <w:t>32</w:t>
            </w:r>
            <w:r w:rsidR="00D57F77" w:rsidRPr="00D57F77">
              <w:rPr>
                <w:rFonts w:asciiTheme="minorHAnsi" w:hAnsiTheme="minorHAnsi"/>
                <w:b/>
                <w:sz w:val="24"/>
                <w:szCs w:val="24"/>
              </w:rPr>
              <w:t xml:space="preserve"> godzin</w:t>
            </w:r>
            <w:r w:rsidR="00D319DC">
              <w:rPr>
                <w:rFonts w:asciiTheme="minorHAnsi" w:hAnsiTheme="minorHAnsi"/>
                <w:b/>
                <w:sz w:val="24"/>
                <w:szCs w:val="24"/>
              </w:rPr>
              <w:t>y</w:t>
            </w:r>
            <w:r w:rsidR="00D57F7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741C5" w:rsidRPr="00D57F77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57F77">
              <w:rPr>
                <w:rFonts w:ascii="Times New Roman" w:hAnsi="Times New Roman"/>
                <w:strike/>
                <w:sz w:val="24"/>
                <w:szCs w:val="24"/>
              </w:rPr>
              <w:t>- laboratorium:</w:t>
            </w:r>
          </w:p>
          <w:p w:rsidR="009741C5" w:rsidRDefault="0077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F77">
              <w:rPr>
                <w:rFonts w:ascii="Times New Roman" w:hAnsi="Times New Roman"/>
                <w:strike/>
                <w:sz w:val="24"/>
                <w:szCs w:val="24"/>
              </w:rPr>
              <w:t>inne: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C5" w:rsidRPr="00D57F77" w:rsidRDefault="00D319D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72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9741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studenta np.:</w:t>
            </w:r>
          </w:p>
          <w:p w:rsidR="009741C5" w:rsidRDefault="00775859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  <w:r w:rsidR="00D319DC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  <w:p w:rsidR="009E5787" w:rsidRPr="009E5787" w:rsidRDefault="009E57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rozwiązywanie kazusów: </w:t>
            </w:r>
            <w:r w:rsidR="00D319DC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</w:p>
          <w:p w:rsidR="009741C5" w:rsidRPr="00D57F77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57F77">
              <w:rPr>
                <w:rFonts w:ascii="Times New Roman" w:hAnsi="Times New Roman"/>
                <w:strike/>
                <w:sz w:val="24"/>
                <w:szCs w:val="24"/>
              </w:rPr>
              <w:t>- opracowanie wyników:</w:t>
            </w:r>
          </w:p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czytanie wskazanej literatury:</w:t>
            </w:r>
            <w:r w:rsidR="009B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9DC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9B6D2F" w:rsidRPr="009B6D2F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7F77">
              <w:rPr>
                <w:rFonts w:ascii="Times New Roman" w:hAnsi="Times New Roman"/>
                <w:strike/>
                <w:sz w:val="24"/>
                <w:szCs w:val="24"/>
              </w:rPr>
              <w:t>napisanie raportu z zajęć:</w:t>
            </w:r>
          </w:p>
          <w:p w:rsidR="009741C5" w:rsidRPr="00D57F77" w:rsidRDefault="00775859">
            <w:pPr>
              <w:autoSpaceDE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przygotowanie do egzaminu: </w:t>
            </w:r>
            <w:r w:rsidR="00D57F77">
              <w:rPr>
                <w:rFonts w:asciiTheme="minorHAnsi" w:hAnsiTheme="minorHAnsi"/>
                <w:b/>
                <w:sz w:val="24"/>
                <w:szCs w:val="24"/>
              </w:rPr>
              <w:t>80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C5" w:rsidRPr="00D57F77" w:rsidRDefault="00D319D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17</w:t>
            </w:r>
            <w:r w:rsidR="006A3EF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9741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D57F77" w:rsidRDefault="00D57F7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57F7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6A3EF0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D319DC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</w:tr>
      <w:tr w:rsidR="009741C5" w:rsidTr="003B75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9741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C5" w:rsidRDefault="0077585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C5" w:rsidRPr="00651D98" w:rsidRDefault="005A44E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</w:tr>
    </w:tbl>
    <w:p w:rsidR="00775859" w:rsidRDefault="00775859">
      <w:pPr>
        <w:rPr>
          <w:rFonts w:ascii="Times New Roman" w:hAnsi="Times New Roman"/>
          <w:sz w:val="24"/>
          <w:szCs w:val="24"/>
        </w:rPr>
      </w:pPr>
    </w:p>
    <w:sectPr w:rsidR="00775859" w:rsidSect="0097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E7"/>
    <w:multiLevelType w:val="hybridMultilevel"/>
    <w:tmpl w:val="8C2E3FEC"/>
    <w:lvl w:ilvl="0" w:tplc="0415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B196EA4"/>
    <w:multiLevelType w:val="hybridMultilevel"/>
    <w:tmpl w:val="A09C2188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4289C"/>
    <w:multiLevelType w:val="hybridMultilevel"/>
    <w:tmpl w:val="21FAD2B0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0D92"/>
    <w:multiLevelType w:val="hybridMultilevel"/>
    <w:tmpl w:val="BE8ECF4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4C33F28"/>
    <w:multiLevelType w:val="hybridMultilevel"/>
    <w:tmpl w:val="654A32F4"/>
    <w:lvl w:ilvl="0" w:tplc="FD7051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A60123"/>
    <w:multiLevelType w:val="hybridMultilevel"/>
    <w:tmpl w:val="92A41488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A7F73"/>
    <w:multiLevelType w:val="hybridMultilevel"/>
    <w:tmpl w:val="7E108B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04023"/>
    <w:multiLevelType w:val="hybridMultilevel"/>
    <w:tmpl w:val="5964AE2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3C5036"/>
    <w:multiLevelType w:val="hybridMultilevel"/>
    <w:tmpl w:val="E4DA1762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7D3715C"/>
    <w:multiLevelType w:val="hybridMultilevel"/>
    <w:tmpl w:val="57DC1FF0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224A98"/>
    <w:multiLevelType w:val="hybridMultilevel"/>
    <w:tmpl w:val="FC3E8E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494A66"/>
    <w:multiLevelType w:val="hybridMultilevel"/>
    <w:tmpl w:val="D12AB2F4"/>
    <w:lvl w:ilvl="0" w:tplc="FD7051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30CBF"/>
    <w:multiLevelType w:val="hybridMultilevel"/>
    <w:tmpl w:val="4EBAC73A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E510BC"/>
    <w:multiLevelType w:val="hybridMultilevel"/>
    <w:tmpl w:val="6AEC3BAE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B2980"/>
    <w:multiLevelType w:val="hybridMultilevel"/>
    <w:tmpl w:val="AFDE5714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184270"/>
    <w:multiLevelType w:val="hybridMultilevel"/>
    <w:tmpl w:val="DD8604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E5692"/>
    <w:multiLevelType w:val="hybridMultilevel"/>
    <w:tmpl w:val="F3407204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B3D33"/>
    <w:multiLevelType w:val="hybridMultilevel"/>
    <w:tmpl w:val="1F685D32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446AD4"/>
    <w:multiLevelType w:val="hybridMultilevel"/>
    <w:tmpl w:val="9BB87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7B53"/>
    <w:multiLevelType w:val="hybridMultilevel"/>
    <w:tmpl w:val="D28E51A2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A5728"/>
    <w:multiLevelType w:val="hybridMultilevel"/>
    <w:tmpl w:val="C638D8E0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A13C2F"/>
    <w:multiLevelType w:val="hybridMultilevel"/>
    <w:tmpl w:val="5366F3C4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7D1D11"/>
    <w:multiLevelType w:val="hybridMultilevel"/>
    <w:tmpl w:val="991437F0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24F5A"/>
    <w:multiLevelType w:val="hybridMultilevel"/>
    <w:tmpl w:val="105AB7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12289F"/>
    <w:multiLevelType w:val="hybridMultilevel"/>
    <w:tmpl w:val="C4E03F3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122035"/>
    <w:multiLevelType w:val="hybridMultilevel"/>
    <w:tmpl w:val="7008534C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75B40"/>
    <w:multiLevelType w:val="hybridMultilevel"/>
    <w:tmpl w:val="E3D4C364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536D3"/>
    <w:multiLevelType w:val="hybridMultilevel"/>
    <w:tmpl w:val="DAE07AEC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501BE"/>
    <w:multiLevelType w:val="hybridMultilevel"/>
    <w:tmpl w:val="2C2E3100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1B45CB9"/>
    <w:multiLevelType w:val="hybridMultilevel"/>
    <w:tmpl w:val="BB289D88"/>
    <w:lvl w:ilvl="0" w:tplc="FD70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5268"/>
    <w:multiLevelType w:val="hybridMultilevel"/>
    <w:tmpl w:val="21AE5314"/>
    <w:lvl w:ilvl="0" w:tplc="FD7051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62E186A"/>
    <w:multiLevelType w:val="hybridMultilevel"/>
    <w:tmpl w:val="F7EA9184"/>
    <w:lvl w:ilvl="0" w:tplc="FD7051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FA95864"/>
    <w:multiLevelType w:val="hybridMultilevel"/>
    <w:tmpl w:val="6B9497DE"/>
    <w:lvl w:ilvl="0" w:tplc="FD70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21"/>
  </w:num>
  <w:num w:numId="5">
    <w:abstractNumId w:val="19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24"/>
  </w:num>
  <w:num w:numId="14">
    <w:abstractNumId w:val="4"/>
  </w:num>
  <w:num w:numId="15">
    <w:abstractNumId w:val="0"/>
  </w:num>
  <w:num w:numId="16">
    <w:abstractNumId w:val="26"/>
  </w:num>
  <w:num w:numId="17">
    <w:abstractNumId w:val="22"/>
  </w:num>
  <w:num w:numId="18">
    <w:abstractNumId w:val="17"/>
  </w:num>
  <w:num w:numId="19">
    <w:abstractNumId w:val="6"/>
  </w:num>
  <w:num w:numId="20">
    <w:abstractNumId w:val="5"/>
  </w:num>
  <w:num w:numId="21">
    <w:abstractNumId w:val="30"/>
  </w:num>
  <w:num w:numId="22">
    <w:abstractNumId w:val="8"/>
  </w:num>
  <w:num w:numId="23">
    <w:abstractNumId w:val="29"/>
  </w:num>
  <w:num w:numId="24">
    <w:abstractNumId w:val="2"/>
  </w:num>
  <w:num w:numId="25">
    <w:abstractNumId w:val="7"/>
  </w:num>
  <w:num w:numId="26">
    <w:abstractNumId w:val="27"/>
  </w:num>
  <w:num w:numId="27">
    <w:abstractNumId w:val="15"/>
  </w:num>
  <w:num w:numId="28">
    <w:abstractNumId w:val="16"/>
  </w:num>
  <w:num w:numId="29">
    <w:abstractNumId w:val="23"/>
  </w:num>
  <w:num w:numId="30">
    <w:abstractNumId w:val="31"/>
  </w:num>
  <w:num w:numId="31">
    <w:abstractNumId w:val="25"/>
  </w:num>
  <w:num w:numId="32">
    <w:abstractNumId w:val="2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446D"/>
    <w:rsid w:val="00000FF5"/>
    <w:rsid w:val="00024CAD"/>
    <w:rsid w:val="000522B3"/>
    <w:rsid w:val="00053587"/>
    <w:rsid w:val="00077598"/>
    <w:rsid w:val="00081FCB"/>
    <w:rsid w:val="000B363C"/>
    <w:rsid w:val="000C132B"/>
    <w:rsid w:val="000D59DC"/>
    <w:rsid w:val="000E21AF"/>
    <w:rsid w:val="000F0775"/>
    <w:rsid w:val="0010720B"/>
    <w:rsid w:val="00131489"/>
    <w:rsid w:val="00145FDC"/>
    <w:rsid w:val="00150BB3"/>
    <w:rsid w:val="00161292"/>
    <w:rsid w:val="0017018D"/>
    <w:rsid w:val="00191363"/>
    <w:rsid w:val="001C2D40"/>
    <w:rsid w:val="001C41EE"/>
    <w:rsid w:val="001E5896"/>
    <w:rsid w:val="001E764A"/>
    <w:rsid w:val="001F62B3"/>
    <w:rsid w:val="00281756"/>
    <w:rsid w:val="002B16EF"/>
    <w:rsid w:val="002D0D43"/>
    <w:rsid w:val="003016A7"/>
    <w:rsid w:val="00305E6B"/>
    <w:rsid w:val="003739B6"/>
    <w:rsid w:val="0038633D"/>
    <w:rsid w:val="003A7226"/>
    <w:rsid w:val="003A739C"/>
    <w:rsid w:val="003B256C"/>
    <w:rsid w:val="003B7564"/>
    <w:rsid w:val="003C2091"/>
    <w:rsid w:val="003C2F5E"/>
    <w:rsid w:val="003D63BB"/>
    <w:rsid w:val="003F6ADC"/>
    <w:rsid w:val="00403F22"/>
    <w:rsid w:val="004065CB"/>
    <w:rsid w:val="00406ABA"/>
    <w:rsid w:val="00413616"/>
    <w:rsid w:val="00426625"/>
    <w:rsid w:val="00440E3D"/>
    <w:rsid w:val="00450F2D"/>
    <w:rsid w:val="00466B07"/>
    <w:rsid w:val="00471657"/>
    <w:rsid w:val="0047535F"/>
    <w:rsid w:val="004761B5"/>
    <w:rsid w:val="0049185C"/>
    <w:rsid w:val="004C436F"/>
    <w:rsid w:val="004F37E5"/>
    <w:rsid w:val="00523269"/>
    <w:rsid w:val="00543A53"/>
    <w:rsid w:val="00546CC2"/>
    <w:rsid w:val="005543F1"/>
    <w:rsid w:val="005A44E7"/>
    <w:rsid w:val="005A5833"/>
    <w:rsid w:val="005A78DE"/>
    <w:rsid w:val="005B68AC"/>
    <w:rsid w:val="005E0F82"/>
    <w:rsid w:val="00613F46"/>
    <w:rsid w:val="00621954"/>
    <w:rsid w:val="00642891"/>
    <w:rsid w:val="00651D98"/>
    <w:rsid w:val="00694C63"/>
    <w:rsid w:val="006A3EF0"/>
    <w:rsid w:val="006C3ACB"/>
    <w:rsid w:val="006D03A4"/>
    <w:rsid w:val="006F6720"/>
    <w:rsid w:val="00712DB0"/>
    <w:rsid w:val="0077318B"/>
    <w:rsid w:val="00775859"/>
    <w:rsid w:val="0079446D"/>
    <w:rsid w:val="007B0B2F"/>
    <w:rsid w:val="007B5F32"/>
    <w:rsid w:val="007D6FF5"/>
    <w:rsid w:val="008577F7"/>
    <w:rsid w:val="008904A2"/>
    <w:rsid w:val="008D01B4"/>
    <w:rsid w:val="008D4A38"/>
    <w:rsid w:val="008E7FAF"/>
    <w:rsid w:val="00936212"/>
    <w:rsid w:val="00946434"/>
    <w:rsid w:val="00962891"/>
    <w:rsid w:val="009741C5"/>
    <w:rsid w:val="009971FD"/>
    <w:rsid w:val="009B566A"/>
    <w:rsid w:val="009B57C9"/>
    <w:rsid w:val="009B6D2F"/>
    <w:rsid w:val="009E3970"/>
    <w:rsid w:val="009E5787"/>
    <w:rsid w:val="009F24D2"/>
    <w:rsid w:val="009F4821"/>
    <w:rsid w:val="00A026E8"/>
    <w:rsid w:val="00A06042"/>
    <w:rsid w:val="00A320A5"/>
    <w:rsid w:val="00AA5BE5"/>
    <w:rsid w:val="00AE39B5"/>
    <w:rsid w:val="00B40351"/>
    <w:rsid w:val="00B8525C"/>
    <w:rsid w:val="00C00CA6"/>
    <w:rsid w:val="00C06B1C"/>
    <w:rsid w:val="00C075F6"/>
    <w:rsid w:val="00C132CA"/>
    <w:rsid w:val="00C50FCC"/>
    <w:rsid w:val="00C66F34"/>
    <w:rsid w:val="00CA0BC2"/>
    <w:rsid w:val="00CA5307"/>
    <w:rsid w:val="00CB4BF3"/>
    <w:rsid w:val="00CE19B0"/>
    <w:rsid w:val="00D11B99"/>
    <w:rsid w:val="00D27CE3"/>
    <w:rsid w:val="00D319DC"/>
    <w:rsid w:val="00D3596B"/>
    <w:rsid w:val="00D40589"/>
    <w:rsid w:val="00D57F77"/>
    <w:rsid w:val="00D65A11"/>
    <w:rsid w:val="00D679B0"/>
    <w:rsid w:val="00D9735A"/>
    <w:rsid w:val="00DC1885"/>
    <w:rsid w:val="00DD178E"/>
    <w:rsid w:val="00DE420A"/>
    <w:rsid w:val="00E2356B"/>
    <w:rsid w:val="00E963A2"/>
    <w:rsid w:val="00EA0398"/>
    <w:rsid w:val="00EB045B"/>
    <w:rsid w:val="00EC3236"/>
    <w:rsid w:val="00ED0DB4"/>
    <w:rsid w:val="00EF62B8"/>
    <w:rsid w:val="00FA275A"/>
    <w:rsid w:val="00FC7D6D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C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5A78D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741C5"/>
  </w:style>
  <w:style w:type="character" w:customStyle="1" w:styleId="TekstprzypisukocowegoZnak">
    <w:name w:val="Tekst przypisu końcowego Znak"/>
    <w:rsid w:val="009741C5"/>
    <w:rPr>
      <w:sz w:val="20"/>
      <w:szCs w:val="20"/>
    </w:rPr>
  </w:style>
  <w:style w:type="character" w:customStyle="1" w:styleId="Znakiprzypiswkocowych">
    <w:name w:val="Znaki przypisów końcowych"/>
    <w:rsid w:val="009741C5"/>
    <w:rPr>
      <w:vertAlign w:val="superscript"/>
    </w:rPr>
  </w:style>
  <w:style w:type="character" w:customStyle="1" w:styleId="st">
    <w:name w:val="st"/>
    <w:basedOn w:val="Domylnaczcionkaakapitu1"/>
    <w:rsid w:val="009741C5"/>
  </w:style>
  <w:style w:type="paragraph" w:customStyle="1" w:styleId="Nagwek10">
    <w:name w:val="Nagłówek1"/>
    <w:basedOn w:val="Normalny"/>
    <w:next w:val="Tekstpodstawowy"/>
    <w:rsid w:val="009741C5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styleId="Tekstpodstawowy">
    <w:name w:val="Body Text"/>
    <w:basedOn w:val="Normalny"/>
    <w:rsid w:val="009741C5"/>
    <w:pPr>
      <w:spacing w:after="120"/>
    </w:pPr>
  </w:style>
  <w:style w:type="paragraph" w:styleId="Lista">
    <w:name w:val="List"/>
    <w:basedOn w:val="Tekstpodstawowy"/>
    <w:rsid w:val="009741C5"/>
    <w:rPr>
      <w:rFonts w:cs="FreeSans"/>
    </w:rPr>
  </w:style>
  <w:style w:type="paragraph" w:styleId="Legenda">
    <w:name w:val="caption"/>
    <w:basedOn w:val="Normalny"/>
    <w:qFormat/>
    <w:rsid w:val="009741C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741C5"/>
    <w:pPr>
      <w:suppressLineNumbers/>
    </w:pPr>
    <w:rPr>
      <w:rFonts w:cs="FreeSans"/>
    </w:rPr>
  </w:style>
  <w:style w:type="paragraph" w:styleId="Tekstprzypisukocowego">
    <w:name w:val="endnote text"/>
    <w:basedOn w:val="Normalny"/>
    <w:rsid w:val="009741C5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9741C5"/>
    <w:pPr>
      <w:suppressLineNumbers/>
    </w:pPr>
  </w:style>
  <w:style w:type="paragraph" w:customStyle="1" w:styleId="Nagwektabeli">
    <w:name w:val="Nagłówek tabeli"/>
    <w:basedOn w:val="Zawartotabeli"/>
    <w:rsid w:val="009741C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C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B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highlight">
    <w:name w:val="highlight"/>
    <w:basedOn w:val="Domylnaczcionkaakapitu"/>
    <w:rsid w:val="005A78DE"/>
  </w:style>
  <w:style w:type="character" w:customStyle="1" w:styleId="apple-converted-space">
    <w:name w:val="apple-converted-space"/>
    <w:basedOn w:val="Domylnaczcionkaakapitu"/>
    <w:rsid w:val="005A78DE"/>
  </w:style>
  <w:style w:type="character" w:styleId="Hipercze">
    <w:name w:val="Hyperlink"/>
    <w:basedOn w:val="Domylnaczcionkaakapitu"/>
    <w:uiPriority w:val="99"/>
    <w:semiHidden/>
    <w:unhideWhenUsed/>
    <w:rsid w:val="005A78D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78DE"/>
    <w:rPr>
      <w:b/>
      <w:bCs/>
      <w:kern w:val="36"/>
      <w:sz w:val="48"/>
      <w:szCs w:val="48"/>
    </w:rPr>
  </w:style>
  <w:style w:type="character" w:customStyle="1" w:styleId="highlight-disabled">
    <w:name w:val="highlight-disabled"/>
    <w:basedOn w:val="Domylnaczcionkaakapitu"/>
    <w:rsid w:val="00170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sguytq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type=html&amp;documentId=mfrxilrsgqyti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type=html&amp;documentId=mfrxilrtguydenrsgqy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galis.pl/document-view.seam?type=html&amp;documentId=mfrxilrsguydonq" TargetMode="External"/><Relationship Id="rId10" Type="http://schemas.openxmlformats.org/officeDocument/2006/relationships/hyperlink" Target="https://sip.legalis.pl/document-view.seam?type=html&amp;documentId=mfrxilrvguytgnjzhe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type=html&amp;documentId=mfrxilrxgazdcnryga3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2537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Kociubiński</dc:creator>
  <cp:lastModifiedBy>Dagmara Gruszeck</cp:lastModifiedBy>
  <cp:revision>2</cp:revision>
  <cp:lastPrinted>2013-03-27T09:35:00Z</cp:lastPrinted>
  <dcterms:created xsi:type="dcterms:W3CDTF">2015-10-04T12:30:00Z</dcterms:created>
  <dcterms:modified xsi:type="dcterms:W3CDTF">2015-10-04T12:30:00Z</dcterms:modified>
</cp:coreProperties>
</file>