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1" w:rsidRDefault="00192171">
      <w:r>
        <w:t>Szanowni Państwo,</w:t>
      </w:r>
    </w:p>
    <w:p w:rsidR="00192171" w:rsidRDefault="00192171">
      <w:r>
        <w:t xml:space="preserve">Poniżej podaję </w:t>
      </w:r>
      <w:r w:rsidRPr="00192171">
        <w:rPr>
          <w:b/>
        </w:rPr>
        <w:t>podstawową</w:t>
      </w:r>
      <w:r>
        <w:t xml:space="preserve"> bibliografię do Państwa tematów. Oczywiście nie zwalnia to Państwa od dalszych poszukiwań – ja tylko Wam wskazuję czego właściwie szukać. Pamiętajcie też, żeby sięgnąć do orzecznictwa – w komentarzach macie odniesienia do orzeczeń, podane sygnatury akt i daty orzeczeń, możecie skorzystać z baz internetowych jak „</w:t>
      </w:r>
      <w:r w:rsidRPr="00192171">
        <w:rPr>
          <w:b/>
        </w:rPr>
        <w:t>LEX</w:t>
      </w:r>
      <w:r>
        <w:rPr>
          <w:b/>
        </w:rPr>
        <w:t xml:space="preserve">” </w:t>
      </w:r>
      <w:r>
        <w:t>lub „</w:t>
      </w:r>
      <w:proofErr w:type="spellStart"/>
      <w:r w:rsidRPr="00192171">
        <w:rPr>
          <w:b/>
        </w:rPr>
        <w:t>Legalis</w:t>
      </w:r>
      <w:proofErr w:type="spellEnd"/>
      <w:r>
        <w:rPr>
          <w:b/>
        </w:rPr>
        <w:t>”</w:t>
      </w:r>
      <w:r>
        <w:t xml:space="preserve"> (obie dostępne w czytelni wydziału prawa z tamtejszych komputerów, pod adresem:</w:t>
      </w:r>
    </w:p>
    <w:p w:rsidR="00192171" w:rsidRDefault="000F4916">
      <w:hyperlink r:id="rId6" w:history="1">
        <w:r w:rsidR="00192171" w:rsidRPr="002D4816">
          <w:rPr>
            <w:rStyle w:val="Hipercze"/>
          </w:rPr>
          <w:t>https://prawo.uni.wroc.pl/node/276</w:t>
        </w:r>
      </w:hyperlink>
      <w:r w:rsidR="00192171">
        <w:t xml:space="preserve">  </w:t>
      </w:r>
    </w:p>
    <w:p w:rsidR="00192171" w:rsidRDefault="00192171">
      <w:r>
        <w:t>i tam się rozwija katalog dostępnych baz, wchodzicie na odsyłacz i w bazie już wpisujecie odpowiedni akt prawny i nr artykułu – w razie czego Panie z czytelni chętnie udzielają pomocy)</w:t>
      </w:r>
    </w:p>
    <w:p w:rsidR="005548ED" w:rsidRDefault="005548ED">
      <w:r w:rsidRPr="005548ED">
        <w:rPr>
          <w:highlight w:val="yellow"/>
        </w:rPr>
        <w:t>Literatura</w:t>
      </w:r>
      <w:r>
        <w:rPr>
          <w:highlight w:val="yellow"/>
        </w:rPr>
        <w:t xml:space="preserve"> wybrana</w:t>
      </w:r>
      <w:r w:rsidRPr="005548ED">
        <w:rPr>
          <w:highlight w:val="yellow"/>
        </w:rPr>
        <w:t xml:space="preserve"> do granic prawa do obrony oskarżonego:</w:t>
      </w:r>
    </w:p>
    <w:bookmarkStart w:id="0" w:name="docTitle"/>
    <w:p w:rsidR="005548ED" w:rsidRDefault="005548ED" w:rsidP="005548ED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"https://sip.lex.pl/" \l "/publication/151137930/bielski-marek-wylaczenie-przestepnosci-skladania-falszywych-zeznan-w-zwiazku-z-przyslugujacym...?cm=URELATIONS"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>Bielski Marek, Wyłączenie przestępności składania fałszywych zeznań w związku z przysługującym sprawcy czynu zabronionego prawem do obrony</w:t>
      </w:r>
      <w:r>
        <w:rPr>
          <w:rStyle w:val="Hipercze"/>
          <w:rFonts w:ascii="Arial" w:hAnsi="Arial" w:cs="Arial"/>
          <w:color w:val="1B7AB8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bookmarkEnd w:id="0"/>
    </w:p>
    <w:p w:rsidR="005548ED" w:rsidRDefault="005548ED" w:rsidP="005548ED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Czasopismo Prawa Karnego i Nauk Penalnych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2011/3/73-92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</w:t>
      </w:r>
    </w:p>
    <w:p w:rsidR="005548ED" w:rsidRDefault="005548ED" w:rsidP="005548ED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hyperlink r:id="rId7" w:anchor="/publication/151052984/wilinski-pawel-skladanie-nieprawdziwych-wyjasnien-w-postepowaniu-karnym-artykul-polemiczny?cm=URELATIONS" w:history="1"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>Wiliński Paweł, Składanie nieprawdziwych wyjaśnień w postępowaniu karnym - artykuł polemiczny</w:t>
        </w:r>
        <w:r>
          <w:rPr>
            <w:rStyle w:val="Hipercze"/>
            <w:rFonts w:ascii="Arial" w:hAnsi="Arial" w:cs="Arial"/>
            <w:color w:val="1B7AB8"/>
            <w:sz w:val="18"/>
            <w:szCs w:val="18"/>
          </w:rPr>
          <w:t xml:space="preserve"> </w:t>
        </w:r>
      </w:hyperlink>
    </w:p>
    <w:p w:rsidR="005548ED" w:rsidRDefault="005548ED" w:rsidP="005548ED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Prokuratura i Prawo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2007/2/70-75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(to znajdziecie też w dostępie online)</w:t>
      </w:r>
    </w:p>
    <w:bookmarkStart w:id="1" w:name="listIco"/>
    <w:bookmarkEnd w:id="1"/>
    <w:p w:rsidR="005548ED" w:rsidRDefault="005548ED" w:rsidP="005548ED">
      <w:pPr>
        <w:pStyle w:val="ng-scope"/>
        <w:spacing w:before="0" w:beforeAutospacing="0" w:after="75" w:afterAutospacing="0"/>
      </w:pPr>
      <w:r>
        <w:fldChar w:fldCharType="begin"/>
      </w:r>
      <w:r>
        <w:instrText xml:space="preserve"> HYPERLINK "https://sip.lex.pl/" \l "/publication/151047333/pohl-lukasz-skladanie-nieprawdziwych-wyjasnien-przez-oskarzonego-w-polskim-postepowaniu-karnym...?cm=URELATIONS" </w:instrText>
      </w:r>
      <w:r>
        <w:fldChar w:fldCharType="separate"/>
      </w:r>
      <w:r>
        <w:rPr>
          <w:rStyle w:val="Pogrubienie"/>
          <w:color w:val="1B1B1B"/>
          <w:sz w:val="20"/>
          <w:szCs w:val="20"/>
        </w:rPr>
        <w:t>Pohl Łukasz, Składanie nieprawdziwych wyjaśnień przez oskarżonego w polskim postępowaniu karnym - szkic teoretycznoprawny</w:t>
      </w:r>
      <w:r>
        <w:rPr>
          <w:rStyle w:val="Hipercze"/>
          <w:color w:val="1B7AB8"/>
          <w:u w:val="none"/>
        </w:rPr>
        <w:t xml:space="preserve"> </w:t>
      </w:r>
      <w:r>
        <w:fldChar w:fldCharType="end"/>
      </w:r>
    </w:p>
    <w:p w:rsidR="005548ED" w:rsidRDefault="005548ED" w:rsidP="005548ED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</w:rPr>
        <w:t xml:space="preserve">Prokuratura i Prawo </w:t>
      </w:r>
      <w:r>
        <w:rPr>
          <w:rStyle w:val="ng-binding"/>
        </w:rPr>
        <w:t xml:space="preserve"> 2006/6/38-44</w:t>
      </w:r>
      <w:r>
        <w:t xml:space="preserve"> </w:t>
      </w:r>
      <w:r>
        <w:rPr>
          <w:rStyle w:val="ng-scope1"/>
        </w:rPr>
        <w:t> 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(to znajdziecie też w dostępie online)</w:t>
      </w:r>
    </w:p>
    <w:p w:rsidR="005548ED" w:rsidRDefault="005548ED" w:rsidP="005548ED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hyperlink r:id="rId8" w:anchor="/publication/151041613/kucharczyk-mariusz-kwestia-ujawniania-tajemnicy-panstwowej-sluzbowej-zawodowej-i-funkcyjnej-w...?cm=URELATIONS" w:history="1"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>Kucharczyk Mariusz, Kwestia ujawniania tajemnicy państwowej, służbowej, zawodowej i funkcyjnej w wyjaśnieniach oskarżonego</w:t>
        </w:r>
        <w:r>
          <w:rPr>
            <w:rStyle w:val="Hipercze"/>
            <w:rFonts w:ascii="Arial" w:hAnsi="Arial" w:cs="Arial"/>
            <w:color w:val="1B7AB8"/>
            <w:sz w:val="18"/>
            <w:szCs w:val="18"/>
          </w:rPr>
          <w:t xml:space="preserve"> </w:t>
        </w:r>
      </w:hyperlink>
    </w:p>
    <w:p w:rsidR="005548ED" w:rsidRDefault="005548ED" w:rsidP="005548ED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Państwo i Prawo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2005/2/78-90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-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548ED" w:rsidRDefault="005548ED" w:rsidP="005548ED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hyperlink r:id="rId9" w:anchor="/publication/151041963/kucharczyk-mariusz-pomowienie-jako-szczegolny-rodzaj-wyjasnien-oskarzonego?cm=URELATIONS" w:history="1"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>Kucharczyk Mariusz, Pomówienie jako szczególny rodzaj "wyjaśnień" oskarżonego</w:t>
        </w:r>
        <w:r>
          <w:rPr>
            <w:rStyle w:val="Hipercze"/>
            <w:rFonts w:ascii="Arial" w:hAnsi="Arial" w:cs="Arial"/>
            <w:color w:val="1B7AB8"/>
            <w:sz w:val="18"/>
            <w:szCs w:val="18"/>
          </w:rPr>
          <w:t xml:space="preserve"> </w:t>
        </w:r>
      </w:hyperlink>
    </w:p>
    <w:p w:rsidR="005548ED" w:rsidRDefault="005548ED" w:rsidP="005548ED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rzegląd 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>S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>ądowy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2005/4/98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-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type"/>
          <w:rFonts w:ascii="Arial" w:hAnsi="Arial" w:cs="Arial"/>
          <w:color w:val="333333"/>
          <w:sz w:val="18"/>
          <w:szCs w:val="18"/>
        </w:rPr>
        <w:t>artykuł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548ED" w:rsidRDefault="005548ED" w:rsidP="005548ED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>Gierula</w:t>
      </w:r>
      <w:proofErr w:type="spellEnd"/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 xml:space="preserve"> Iwona, Obrońca a kłamstwo. Uwagi na tle karnoprawnych </w:t>
      </w:r>
      <w:r>
        <w:rPr>
          <w:rStyle w:val="Uwydatnienie"/>
          <w:rFonts w:ascii="Arial" w:hAnsi="Arial" w:cs="Arial"/>
          <w:b/>
          <w:bCs/>
          <w:i w:val="0"/>
          <w:iCs w:val="0"/>
          <w:color w:val="1B1B1B"/>
          <w:sz w:val="20"/>
          <w:szCs w:val="20"/>
          <w:u w:val="single"/>
          <w:shd w:val="clear" w:color="auto" w:fill="FFEE75"/>
        </w:rPr>
        <w:t>granic</w:t>
      </w:r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 xml:space="preserve"> wykonywania </w:t>
      </w:r>
      <w:r>
        <w:rPr>
          <w:rStyle w:val="Uwydatnienie"/>
          <w:rFonts w:ascii="Arial" w:hAnsi="Arial" w:cs="Arial"/>
          <w:b/>
          <w:bCs/>
          <w:i w:val="0"/>
          <w:iCs w:val="0"/>
          <w:color w:val="1B1B1B"/>
          <w:sz w:val="20"/>
          <w:szCs w:val="20"/>
          <w:u w:val="single"/>
          <w:shd w:val="clear" w:color="auto" w:fill="FFEE75"/>
        </w:rPr>
        <w:t>obrony</w:t>
      </w:r>
      <w:r w:rsidRPr="00356B88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548ED" w:rsidRDefault="005548ED" w:rsidP="005548ED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rzegląd 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>S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>ądowy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2012/9/40-53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-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type"/>
          <w:rFonts w:ascii="Arial" w:hAnsi="Arial" w:cs="Arial"/>
          <w:color w:val="333333"/>
          <w:sz w:val="18"/>
          <w:szCs w:val="18"/>
        </w:rPr>
        <w:t>artykuł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5548ED" w:rsidRDefault="005548ED" w:rsidP="005548ED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ng-scope1"/>
          <w:rFonts w:ascii="Arial" w:hAnsi="Arial" w:cs="Arial"/>
          <w:color w:val="333333"/>
          <w:sz w:val="18"/>
          <w:szCs w:val="18"/>
        </w:rPr>
        <w:t>I dwie monografie: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 </w:t>
      </w:r>
    </w:p>
    <w:p w:rsidR="00000000" w:rsidRDefault="000F4916" w:rsidP="005548ED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 w:rsidRPr="005548ED">
        <w:rPr>
          <w:rFonts w:ascii="Arial" w:hAnsi="Arial" w:cs="Arial"/>
          <w:color w:val="333333"/>
          <w:sz w:val="18"/>
          <w:szCs w:val="18"/>
        </w:rPr>
        <w:t xml:space="preserve">M. Błoński, </w:t>
      </w:r>
      <w:r w:rsidRPr="005548ED">
        <w:rPr>
          <w:rFonts w:ascii="Arial" w:hAnsi="Arial" w:cs="Arial"/>
          <w:i/>
          <w:iCs/>
          <w:color w:val="333333"/>
          <w:sz w:val="18"/>
          <w:szCs w:val="18"/>
        </w:rPr>
        <w:t>Wyjaśnienia oskarżonego w polskim procesie karnym</w:t>
      </w:r>
      <w:r w:rsidRPr="005548ED">
        <w:rPr>
          <w:rFonts w:ascii="Arial" w:hAnsi="Arial" w:cs="Arial"/>
          <w:color w:val="333333"/>
          <w:sz w:val="18"/>
          <w:szCs w:val="18"/>
        </w:rPr>
        <w:t>, Wydawnictwo Uniwersytetu Łódzkiego, Łódź 2011.</w:t>
      </w:r>
    </w:p>
    <w:p w:rsidR="00000000" w:rsidRPr="005548ED" w:rsidRDefault="000F4916" w:rsidP="005548ED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 w:rsidRPr="005548ED">
        <w:rPr>
          <w:rFonts w:ascii="Arial" w:hAnsi="Arial" w:cs="Arial"/>
          <w:color w:val="333333"/>
          <w:sz w:val="18"/>
          <w:szCs w:val="18"/>
        </w:rPr>
        <w:t xml:space="preserve">M. </w:t>
      </w:r>
      <w:proofErr w:type="spellStart"/>
      <w:r w:rsidRPr="005548ED">
        <w:rPr>
          <w:rFonts w:ascii="Arial" w:hAnsi="Arial" w:cs="Arial"/>
          <w:color w:val="333333"/>
          <w:sz w:val="18"/>
          <w:szCs w:val="18"/>
        </w:rPr>
        <w:t>Klejnowska</w:t>
      </w:r>
      <w:proofErr w:type="spellEnd"/>
      <w:r w:rsidRPr="005548ED">
        <w:rPr>
          <w:rFonts w:ascii="Arial" w:hAnsi="Arial" w:cs="Arial"/>
          <w:color w:val="333333"/>
          <w:sz w:val="18"/>
          <w:szCs w:val="18"/>
        </w:rPr>
        <w:t xml:space="preserve">, </w:t>
      </w:r>
      <w:r w:rsidRPr="005548ED">
        <w:rPr>
          <w:rFonts w:ascii="Arial" w:hAnsi="Arial" w:cs="Arial"/>
          <w:i/>
          <w:iCs/>
          <w:color w:val="333333"/>
          <w:sz w:val="18"/>
          <w:szCs w:val="18"/>
        </w:rPr>
        <w:t>Oskarżony jako osobowe źródło informacji o przestępstwie</w:t>
      </w:r>
      <w:r w:rsidRPr="005548ED">
        <w:rPr>
          <w:rFonts w:ascii="Arial" w:hAnsi="Arial" w:cs="Arial"/>
          <w:color w:val="333333"/>
          <w:sz w:val="18"/>
          <w:szCs w:val="18"/>
        </w:rPr>
        <w:t>, Zakamycze, Kraków 2</w:t>
      </w:r>
      <w:r w:rsidRPr="005548ED">
        <w:rPr>
          <w:rFonts w:ascii="Arial" w:hAnsi="Arial" w:cs="Arial"/>
          <w:color w:val="333333"/>
          <w:sz w:val="18"/>
          <w:szCs w:val="18"/>
        </w:rPr>
        <w:t>004.</w:t>
      </w:r>
    </w:p>
    <w:p w:rsidR="005548ED" w:rsidRPr="005548ED" w:rsidRDefault="005548ED" w:rsidP="005548ED">
      <w:pPr>
        <w:ind w:left="360"/>
        <w:rPr>
          <w:rFonts w:ascii="Arial" w:hAnsi="Arial" w:cs="Arial"/>
          <w:color w:val="333333"/>
          <w:sz w:val="18"/>
          <w:szCs w:val="18"/>
        </w:rPr>
      </w:pPr>
    </w:p>
    <w:p w:rsidR="005548ED" w:rsidRDefault="005548ED" w:rsidP="005548ED">
      <w:pPr>
        <w:rPr>
          <w:rFonts w:ascii="Arial" w:hAnsi="Arial" w:cs="Arial"/>
          <w:color w:val="333333"/>
          <w:sz w:val="18"/>
          <w:szCs w:val="18"/>
        </w:rPr>
      </w:pPr>
      <w:r w:rsidRPr="005548ED">
        <w:rPr>
          <w:rFonts w:ascii="Arial" w:hAnsi="Arial" w:cs="Arial"/>
          <w:color w:val="333333"/>
          <w:sz w:val="18"/>
          <w:szCs w:val="18"/>
          <w:highlight w:val="yellow"/>
        </w:rPr>
        <w:t>Literatura</w:t>
      </w:r>
      <w:r>
        <w:rPr>
          <w:rFonts w:ascii="Arial" w:hAnsi="Arial" w:cs="Arial"/>
          <w:color w:val="333333"/>
          <w:sz w:val="18"/>
          <w:szCs w:val="18"/>
          <w:highlight w:val="yellow"/>
        </w:rPr>
        <w:t xml:space="preserve"> wybrana</w:t>
      </w:r>
      <w:r w:rsidRPr="005548ED">
        <w:rPr>
          <w:rFonts w:ascii="Arial" w:hAnsi="Arial" w:cs="Arial"/>
          <w:color w:val="333333"/>
          <w:sz w:val="18"/>
          <w:szCs w:val="18"/>
          <w:highlight w:val="yellow"/>
        </w:rPr>
        <w:t xml:space="preserve"> do świadka koronnego:</w:t>
      </w:r>
    </w:p>
    <w:p w:rsidR="00B16031" w:rsidRDefault="00B16031" w:rsidP="005548E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Przede wszystkim</w:t>
      </w:r>
    </w:p>
    <w:p w:rsidR="00B16031" w:rsidRPr="00B16031" w:rsidRDefault="00B16031" w:rsidP="005548ED">
      <w:pPr>
        <w:rPr>
          <w:rFonts w:ascii="Arial" w:hAnsi="Arial" w:cs="Arial"/>
          <w:color w:val="FF0000"/>
          <w:sz w:val="18"/>
          <w:szCs w:val="18"/>
        </w:rPr>
      </w:pPr>
      <w:r w:rsidRPr="00B16031">
        <w:rPr>
          <w:rFonts w:ascii="Arial" w:hAnsi="Arial" w:cs="Arial"/>
          <w:color w:val="FF0000"/>
          <w:sz w:val="18"/>
          <w:szCs w:val="18"/>
        </w:rPr>
        <w:t>Ustawa z 25 czerwca 1997 o świadku koronnym!</w:t>
      </w:r>
      <w:r>
        <w:rPr>
          <w:rFonts w:ascii="Arial" w:hAnsi="Arial" w:cs="Arial"/>
          <w:color w:val="FF0000"/>
          <w:sz w:val="18"/>
          <w:szCs w:val="18"/>
        </w:rPr>
        <w:t xml:space="preserve"> I komentarze do niej!</w:t>
      </w:r>
    </w:p>
    <w:p w:rsidR="00356B88" w:rsidRDefault="00356B88" w:rsidP="00356B88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>Kościerzyński Jakub,</w:t>
      </w:r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 xml:space="preserve"> Świadek koronny</w:t>
      </w:r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 xml:space="preserve"> w prawie polskim (postulaty de lege </w:t>
      </w:r>
      <w:proofErr w:type="spellStart"/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>ferenda</w:t>
      </w:r>
      <w:proofErr w:type="spellEnd"/>
      <w:r>
        <w:rPr>
          <w:rStyle w:val="Pogrubienie"/>
          <w:rFonts w:ascii="Arial" w:hAnsi="Arial" w:cs="Arial"/>
          <w:color w:val="1B1B1B"/>
          <w:sz w:val="20"/>
          <w:szCs w:val="20"/>
          <w:u w:val="single"/>
        </w:rPr>
        <w:t>)</w:t>
      </w:r>
      <w:r w:rsidRPr="00356B88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356B88" w:rsidRDefault="00356B88" w:rsidP="00356B88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Państwo i Prawo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2006/5/48-60</w:t>
      </w:r>
    </w:p>
    <w:p w:rsidR="00B16031" w:rsidRDefault="00B16031" w:rsidP="00B16031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hyperlink r:id="rId10" w:anchor="/publication/151189422/teluk-rafal-wylaczenie-jawnosci-rozprawy-wobec-osob-objetych-programem-ochrony?keyword=%C5%9Bwiadek%20koronny&amp;cm=SREST" w:history="1">
        <w:proofErr w:type="spellStart"/>
        <w:r>
          <w:rPr>
            <w:rStyle w:val="Pogrubienie"/>
            <w:rFonts w:ascii="Arial" w:hAnsi="Arial" w:cs="Arial"/>
            <w:color w:val="1B1B1B"/>
            <w:sz w:val="20"/>
            <w:szCs w:val="20"/>
          </w:rPr>
          <w:t>Teluk</w:t>
        </w:r>
        <w:proofErr w:type="spellEnd"/>
        <w:r>
          <w:rPr>
            <w:rStyle w:val="Pogrubienie"/>
            <w:rFonts w:ascii="Arial" w:hAnsi="Arial" w:cs="Arial"/>
            <w:color w:val="1B1B1B"/>
            <w:sz w:val="20"/>
            <w:szCs w:val="20"/>
          </w:rPr>
          <w:t xml:space="preserve"> Rafał, Wyłączenie jawności rozprawy wobec osób objętych programem ochrony</w:t>
        </w:r>
        <w:r>
          <w:rPr>
            <w:rStyle w:val="Hipercze"/>
            <w:rFonts w:ascii="Arial" w:hAnsi="Arial" w:cs="Arial"/>
            <w:color w:val="1B7AB8"/>
            <w:sz w:val="18"/>
            <w:szCs w:val="18"/>
          </w:rPr>
          <w:t xml:space="preserve"> </w:t>
        </w:r>
      </w:hyperlink>
    </w:p>
    <w:p w:rsidR="00B16031" w:rsidRDefault="00B16031" w:rsidP="00B16031">
      <w:pPr>
        <w:rPr>
          <w:rStyle w:val="ng-scope1"/>
          <w:rFonts w:ascii="Arial" w:hAnsi="Arial" w:cs="Arial"/>
          <w:color w:val="333333"/>
          <w:sz w:val="18"/>
          <w:szCs w:val="18"/>
        </w:rPr>
      </w:pPr>
      <w:r>
        <w:rPr>
          <w:rStyle w:val="ng-binding"/>
          <w:rFonts w:ascii="Arial" w:hAnsi="Arial" w:cs="Arial"/>
          <w:color w:val="333333"/>
          <w:sz w:val="18"/>
          <w:szCs w:val="18"/>
        </w:rPr>
        <w:t>Palestra 2014/3-4/76-81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-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type"/>
          <w:rFonts w:ascii="Arial" w:hAnsi="Arial" w:cs="Arial"/>
          <w:color w:val="333333"/>
          <w:sz w:val="18"/>
          <w:szCs w:val="18"/>
        </w:rPr>
        <w:t>artykuł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</w:t>
      </w:r>
    </w:p>
    <w:p w:rsidR="00B16031" w:rsidRDefault="00B16031" w:rsidP="00B16031">
      <w:pPr>
        <w:pStyle w:val="ng-scope"/>
        <w:spacing w:before="0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hyperlink r:id="rId11" w:anchor="/publication/151168165/rau-zbigniew-wyniki-badan-swiadkow-koronnych-empiryczne-badania-porownawcze-w-latach-2001-2009-i...?keyword=%C5%9Bwiadek%20koronny&amp;cm=SREST" w:history="1">
        <w:proofErr w:type="spellStart"/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>Rau</w:t>
        </w:r>
        <w:proofErr w:type="spellEnd"/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 xml:space="preserve"> Zbigniew, Wyniki badań </w:t>
        </w:r>
        <w:r>
          <w:rPr>
            <w:rStyle w:val="Uwydatnienie"/>
            <w:rFonts w:ascii="Arial" w:hAnsi="Arial" w:cs="Arial"/>
            <w:b/>
            <w:bCs/>
            <w:i w:val="0"/>
            <w:iCs w:val="0"/>
            <w:color w:val="1B1B1B"/>
            <w:sz w:val="20"/>
            <w:szCs w:val="20"/>
            <w:u w:val="single"/>
          </w:rPr>
          <w:t>świadków koronnych</w:t>
        </w:r>
        <w:r>
          <w:rPr>
            <w:rStyle w:val="Pogrubienie"/>
            <w:rFonts w:ascii="Arial" w:hAnsi="Arial" w:cs="Arial"/>
            <w:color w:val="1B1B1B"/>
            <w:sz w:val="20"/>
            <w:szCs w:val="20"/>
            <w:u w:val="single"/>
          </w:rPr>
          <w:t xml:space="preserve"> - empiryczne badania porównawcze w latach 2001, 2009 i 2012</w:t>
        </w:r>
        <w:r>
          <w:rPr>
            <w:rStyle w:val="Hipercze"/>
            <w:rFonts w:ascii="Arial" w:hAnsi="Arial" w:cs="Arial"/>
            <w:color w:val="1B7AB8"/>
            <w:sz w:val="18"/>
            <w:szCs w:val="18"/>
          </w:rPr>
          <w:t xml:space="preserve"> </w:t>
        </w:r>
      </w:hyperlink>
    </w:p>
    <w:p w:rsidR="005548ED" w:rsidRDefault="00B16031" w:rsidP="005548ED">
      <w:pPr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ng-binding"/>
          <w:rFonts w:ascii="Arial" w:hAnsi="Arial" w:cs="Arial"/>
          <w:color w:val="333333"/>
          <w:sz w:val="18"/>
          <w:szCs w:val="18"/>
        </w:rPr>
        <w:t>Prok.i</w:t>
      </w:r>
      <w:proofErr w:type="spellEnd"/>
      <w:r>
        <w:rPr>
          <w:rStyle w:val="ng-binding"/>
          <w:rFonts w:ascii="Arial" w:hAnsi="Arial" w:cs="Arial"/>
          <w:color w:val="333333"/>
          <w:sz w:val="18"/>
          <w:szCs w:val="18"/>
        </w:rPr>
        <w:t xml:space="preserve"> Pr. 2013/5/53-79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ng-scope1"/>
          <w:rFonts w:ascii="Arial" w:hAnsi="Arial" w:cs="Arial"/>
          <w:color w:val="333333"/>
          <w:sz w:val="18"/>
          <w:szCs w:val="18"/>
        </w:rPr>
        <w:t> -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356B88" w:rsidRDefault="00356B88" w:rsidP="00356B88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ng-scope1"/>
          <w:rFonts w:ascii="Arial" w:hAnsi="Arial" w:cs="Arial"/>
          <w:color w:val="333333"/>
          <w:sz w:val="18"/>
          <w:szCs w:val="18"/>
        </w:rPr>
        <w:t>I monografie:  </w:t>
      </w:r>
    </w:p>
    <w:p w:rsidR="00000000" w:rsidRPr="00356B88" w:rsidRDefault="000F4916" w:rsidP="00356B88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 w:rsidRPr="00356B88">
        <w:rPr>
          <w:rFonts w:ascii="Arial" w:hAnsi="Arial" w:cs="Arial"/>
          <w:color w:val="333333"/>
          <w:sz w:val="18"/>
          <w:szCs w:val="18"/>
        </w:rPr>
        <w:t xml:space="preserve">M. </w:t>
      </w:r>
      <w:r w:rsidRPr="00356B88">
        <w:rPr>
          <w:rFonts w:ascii="Arial" w:hAnsi="Arial" w:cs="Arial"/>
          <w:color w:val="333333"/>
          <w:sz w:val="18"/>
          <w:szCs w:val="18"/>
        </w:rPr>
        <w:t xml:space="preserve">Gabriel-Węglowski, </w:t>
      </w:r>
      <w:r w:rsidRPr="00356B88">
        <w:rPr>
          <w:rFonts w:ascii="Arial" w:hAnsi="Arial" w:cs="Arial"/>
          <w:i/>
          <w:iCs/>
          <w:color w:val="333333"/>
          <w:sz w:val="18"/>
          <w:szCs w:val="18"/>
        </w:rPr>
        <w:t>Ustawa o świadku koronnym. Komentarz. Zarys Instytucji w Europie</w:t>
      </w:r>
      <w:r w:rsidRPr="00356B88">
        <w:rPr>
          <w:rFonts w:ascii="Arial" w:hAnsi="Arial" w:cs="Arial"/>
          <w:color w:val="333333"/>
          <w:sz w:val="18"/>
          <w:szCs w:val="18"/>
        </w:rPr>
        <w:t>, Wolters Kluwer Polska, Warszawa 2011.</w:t>
      </w:r>
    </w:p>
    <w:p w:rsidR="00356B88" w:rsidRDefault="00356B88" w:rsidP="00356B88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E. Kowalewska –Borys, </w:t>
      </w:r>
      <w:r>
        <w:rPr>
          <w:rFonts w:ascii="Arial" w:hAnsi="Arial" w:cs="Arial"/>
          <w:i/>
          <w:color w:val="333333"/>
          <w:sz w:val="18"/>
          <w:szCs w:val="18"/>
        </w:rPr>
        <w:t xml:space="preserve">Świadek koronny w ujęciu dogmatycznym, </w:t>
      </w:r>
      <w:r>
        <w:rPr>
          <w:rFonts w:ascii="Arial" w:hAnsi="Arial" w:cs="Arial"/>
          <w:color w:val="333333"/>
          <w:sz w:val="18"/>
          <w:szCs w:val="18"/>
        </w:rPr>
        <w:t>Zakamycze, Kraków 2004</w:t>
      </w:r>
    </w:p>
    <w:p w:rsidR="005548ED" w:rsidRDefault="00356B88" w:rsidP="00356B88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 w:rsidRPr="00356B88">
        <w:rPr>
          <w:rStyle w:val="Pogrubienie"/>
          <w:color w:val="1B1B1B"/>
        </w:rPr>
        <w:t>M. Adamczyk,</w:t>
      </w:r>
      <w:r w:rsidRPr="00356B88">
        <w:rPr>
          <w:rStyle w:val="Pogrubienie"/>
          <w:color w:val="1B1B1B"/>
        </w:rPr>
        <w:t xml:space="preserve"> </w:t>
      </w:r>
      <w:r w:rsidRPr="00356B88">
        <w:rPr>
          <w:rStyle w:val="Pogrubienie"/>
          <w:i/>
          <w:color w:val="1B1B1B"/>
        </w:rPr>
        <w:t xml:space="preserve">Świadek koronny. </w:t>
      </w:r>
      <w:r w:rsidRPr="00356B88">
        <w:rPr>
          <w:rStyle w:val="Pogrubienie"/>
          <w:i/>
          <w:color w:val="1B1B1B"/>
        </w:rPr>
        <w:t>Analiza prawno-kryminalistyczna</w:t>
      </w:r>
      <w:r w:rsidRPr="00356B88">
        <w:rPr>
          <w:rStyle w:val="Pogrubienie"/>
          <w:color w:val="1B1B1B"/>
        </w:rPr>
        <w:t>, Warszawa 2011</w:t>
      </w:r>
      <w:r w:rsidRPr="00356B88">
        <w:t xml:space="preserve"> </w:t>
      </w:r>
    </w:p>
    <w:p w:rsidR="00356B88" w:rsidRPr="00356B88" w:rsidRDefault="00356B88" w:rsidP="00356B88">
      <w:pPr>
        <w:numPr>
          <w:ilvl w:val="0"/>
          <w:numId w:val="5"/>
        </w:num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Komentarz Grzegorczyka (patrz niżej)</w:t>
      </w:r>
    </w:p>
    <w:p w:rsidR="00356B88" w:rsidRDefault="00356B88" w:rsidP="00356B88">
      <w:pPr>
        <w:pStyle w:val="ng-scope"/>
        <w:spacing w:before="0" w:beforeAutospacing="0" w:after="75" w:afterAutospacing="0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2228850" cy="3365500"/>
            <wp:effectExtent l="0" t="0" r="0" b="6350"/>
            <wp:docPr id="4" name="Obraz 4" descr="Podobny obraz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31" w:rsidRPr="000F4916" w:rsidRDefault="00B16031" w:rsidP="00356B88">
      <w:pPr>
        <w:pStyle w:val="ng-scope"/>
        <w:spacing w:before="0" w:beforeAutospacing="0" w:after="75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 w:rsidRPr="000F4916">
        <w:rPr>
          <w:rFonts w:asciiTheme="minorHAnsi" w:hAnsiTheme="minorHAnsi" w:cstheme="minorHAnsi"/>
          <w:sz w:val="22"/>
          <w:szCs w:val="22"/>
          <w:highlight w:val="lightGray"/>
        </w:rPr>
        <w:t>Możecie też uzupełniająco o przestępczości zorganizowanej:</w:t>
      </w:r>
    </w:p>
    <w:p w:rsidR="000F4916" w:rsidRPr="000F4916" w:rsidRDefault="00B16031" w:rsidP="000F4916">
      <w:pPr>
        <w:pStyle w:val="ng-scope"/>
        <w:spacing w:before="0" w:beforeAutospacing="0" w:after="75" w:afterAutospacing="0"/>
        <w:rPr>
          <w:rStyle w:val="ng-scope1"/>
          <w:rFonts w:asciiTheme="minorHAnsi" w:hAnsiTheme="minorHAnsi" w:cstheme="minorHAnsi"/>
          <w:color w:val="333333"/>
          <w:sz w:val="22"/>
          <w:szCs w:val="22"/>
          <w:highlight w:val="lightGray"/>
        </w:rPr>
      </w:pPr>
      <w:r w:rsidRPr="000F4916">
        <w:rPr>
          <w:rStyle w:val="Pogrubienie"/>
          <w:rFonts w:asciiTheme="minorHAnsi" w:hAnsiTheme="minorHAnsi" w:cstheme="minorHAnsi"/>
          <w:color w:val="1B1B1B"/>
          <w:sz w:val="22"/>
          <w:szCs w:val="22"/>
          <w:highlight w:val="lightGray"/>
          <w:u w:val="single"/>
        </w:rPr>
        <w:t>Krajniak Olga, Zorganizowane grupy przestępcze. Studium kryminalistyczne</w:t>
      </w:r>
      <w:r w:rsidR="000F4916" w:rsidRPr="000F4916">
        <w:rPr>
          <w:rStyle w:val="ng-binding"/>
          <w:rFonts w:asciiTheme="minorHAnsi" w:hAnsiTheme="minorHAnsi" w:cstheme="minorHAnsi"/>
          <w:color w:val="333333"/>
          <w:sz w:val="22"/>
          <w:szCs w:val="22"/>
          <w:highlight w:val="lightGray"/>
        </w:rPr>
        <w:t xml:space="preserve">, Warszawa </w:t>
      </w:r>
      <w:r w:rsidRPr="000F4916">
        <w:rPr>
          <w:rStyle w:val="ng-binding"/>
          <w:rFonts w:asciiTheme="minorHAnsi" w:hAnsiTheme="minorHAnsi" w:cstheme="minorHAnsi"/>
          <w:color w:val="333333"/>
          <w:sz w:val="22"/>
          <w:szCs w:val="22"/>
          <w:highlight w:val="lightGray"/>
        </w:rPr>
        <w:t>2011</w:t>
      </w:r>
      <w:r w:rsidRPr="000F4916">
        <w:rPr>
          <w:rFonts w:asciiTheme="minorHAnsi" w:hAnsiTheme="minorHAnsi" w:cstheme="minorHAnsi"/>
          <w:color w:val="333333"/>
          <w:sz w:val="22"/>
          <w:szCs w:val="22"/>
          <w:highlight w:val="lightGray"/>
        </w:rPr>
        <w:t xml:space="preserve"> </w:t>
      </w:r>
    </w:p>
    <w:p w:rsidR="000F4916" w:rsidRPr="000F4916" w:rsidRDefault="000F4916" w:rsidP="000F4916">
      <w:pPr>
        <w:pStyle w:val="ng-scope"/>
        <w:spacing w:before="0" w:beforeAutospacing="0" w:after="7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F4916">
        <w:rPr>
          <w:rStyle w:val="Pogrubienie"/>
          <w:rFonts w:asciiTheme="minorHAnsi" w:hAnsiTheme="minorHAnsi" w:cstheme="minorHAnsi"/>
          <w:color w:val="1B1B1B"/>
          <w:sz w:val="22"/>
          <w:szCs w:val="22"/>
          <w:highlight w:val="lightGray"/>
        </w:rPr>
        <w:t>Wójcik Jerzy W., Przeciwdziałanie przestępczości zorganizowanej</w:t>
      </w:r>
      <w:r w:rsidRPr="000F4916">
        <w:rPr>
          <w:rFonts w:asciiTheme="minorHAnsi" w:hAnsiTheme="minorHAnsi" w:cstheme="minorHAnsi"/>
          <w:color w:val="333333"/>
          <w:sz w:val="22"/>
          <w:szCs w:val="22"/>
          <w:highlight w:val="lightGray"/>
        </w:rPr>
        <w:t xml:space="preserve">, Warszawa </w:t>
      </w:r>
      <w:r w:rsidRPr="000F4916">
        <w:rPr>
          <w:rStyle w:val="ng-binding"/>
          <w:rFonts w:asciiTheme="minorHAnsi" w:hAnsiTheme="minorHAnsi" w:cstheme="minorHAnsi"/>
          <w:color w:val="333333"/>
          <w:sz w:val="22"/>
          <w:szCs w:val="22"/>
          <w:highlight w:val="lightGray"/>
        </w:rPr>
        <w:t>2011</w:t>
      </w:r>
      <w:r w:rsidRPr="000F4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B16031" w:rsidRPr="000F4916" w:rsidRDefault="00B16031" w:rsidP="000F4916">
      <w:pPr>
        <w:pStyle w:val="ng-scope"/>
        <w:spacing w:before="0" w:beforeAutospacing="0" w:after="7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0F491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B16031" w:rsidRDefault="000F4916" w:rsidP="00356B88">
      <w:pPr>
        <w:pStyle w:val="ng-scope"/>
        <w:spacing w:before="0" w:beforeAutospacing="0" w:after="75" w:afterAutospacing="0"/>
      </w:pPr>
      <w:r w:rsidRPr="000F4916">
        <w:rPr>
          <w:highlight w:val="yellow"/>
        </w:rPr>
        <w:t>Dla wszystkich tematów:</w:t>
      </w:r>
    </w:p>
    <w:p w:rsidR="005548ED" w:rsidRPr="005548ED" w:rsidRDefault="005548ED" w:rsidP="005548ED">
      <w:pPr>
        <w:rPr>
          <w:b/>
        </w:rPr>
      </w:pPr>
      <w:r w:rsidRPr="005548ED">
        <w:rPr>
          <w:b/>
        </w:rPr>
        <w:t xml:space="preserve">Podręczniki do postępowania </w:t>
      </w:r>
      <w:r w:rsidRPr="005548ED">
        <w:rPr>
          <w:b/>
        </w:rPr>
        <w:t>karnego: (są na tej samej półce, co komentarze</w:t>
      </w:r>
      <w:r w:rsidRPr="005548ED">
        <w:rPr>
          <w:b/>
        </w:rPr>
        <w:t xml:space="preserve">) : </w:t>
      </w:r>
    </w:p>
    <w:p w:rsidR="005548ED" w:rsidRDefault="005548ED" w:rsidP="005548ED">
      <w:pPr>
        <w:numPr>
          <w:ilvl w:val="0"/>
          <w:numId w:val="3"/>
        </w:numPr>
        <w:rPr>
          <w:b/>
        </w:rPr>
      </w:pPr>
      <w:r w:rsidRPr="00B55FE4">
        <w:rPr>
          <w:b/>
        </w:rPr>
        <w:t xml:space="preserve">T. Grzegorczyk, J. Tylman, </w:t>
      </w:r>
      <w:r w:rsidRPr="00B55FE4">
        <w:rPr>
          <w:b/>
          <w:i/>
          <w:iCs/>
        </w:rPr>
        <w:t>Polskie postępowanie karne</w:t>
      </w:r>
      <w:r w:rsidRPr="00B55FE4">
        <w:rPr>
          <w:b/>
        </w:rPr>
        <w:t xml:space="preserve">, wydanie 8, </w:t>
      </w:r>
      <w:proofErr w:type="spellStart"/>
      <w:r w:rsidRPr="00B55FE4">
        <w:rPr>
          <w:b/>
        </w:rPr>
        <w:t>Lexis</w:t>
      </w:r>
      <w:proofErr w:type="spellEnd"/>
      <w:r w:rsidRPr="00B55FE4">
        <w:rPr>
          <w:b/>
        </w:rPr>
        <w:t xml:space="preserve"> </w:t>
      </w:r>
      <w:proofErr w:type="spellStart"/>
      <w:r w:rsidRPr="00B55FE4">
        <w:rPr>
          <w:b/>
        </w:rPr>
        <w:t>Nexis</w:t>
      </w:r>
      <w:proofErr w:type="spellEnd"/>
      <w:r w:rsidRPr="00B55FE4">
        <w:rPr>
          <w:b/>
        </w:rPr>
        <w:t>, Warszawa 2011.</w:t>
      </w:r>
    </w:p>
    <w:p w:rsidR="005548ED" w:rsidRPr="00B55FE4" w:rsidRDefault="005548ED" w:rsidP="005548ED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B55FE4">
        <w:rPr>
          <w:rFonts w:asciiTheme="minorHAnsi" w:hAnsiTheme="minorHAnsi" w:cstheme="minorHAnsi"/>
          <w:b/>
        </w:rPr>
        <w:t xml:space="preserve">S. Waltoś, P. Hofmański, </w:t>
      </w:r>
      <w:r w:rsidRPr="00B55FE4">
        <w:rPr>
          <w:rFonts w:asciiTheme="minorHAnsi" w:hAnsiTheme="minorHAnsi" w:cstheme="minorHAnsi"/>
          <w:b/>
          <w:i/>
          <w:iCs/>
        </w:rPr>
        <w:t>Proces karny. Zarys systemu</w:t>
      </w:r>
      <w:r w:rsidRPr="00B55FE4">
        <w:rPr>
          <w:rFonts w:asciiTheme="minorHAnsi" w:hAnsiTheme="minorHAnsi" w:cstheme="minorHAnsi"/>
          <w:b/>
        </w:rPr>
        <w:t>, Warszawa 2018</w:t>
      </w:r>
    </w:p>
    <w:p w:rsidR="005548ED" w:rsidRDefault="005548ED" w:rsidP="005548ED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B55FE4">
        <w:rPr>
          <w:rFonts w:asciiTheme="minorHAnsi" w:hAnsiTheme="minorHAnsi" w:cstheme="minorHAnsi"/>
          <w:b/>
        </w:rPr>
        <w:t xml:space="preserve">K. T. Boratyńska, </w:t>
      </w:r>
      <w:hyperlink r:id="rId14" w:history="1">
        <w:r w:rsidRPr="00B55FE4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Ł. Chojniak</w:t>
        </w:r>
      </w:hyperlink>
      <w:r w:rsidRPr="00B55FE4">
        <w:rPr>
          <w:rFonts w:asciiTheme="minorHAnsi" w:hAnsiTheme="minorHAnsi" w:cstheme="minorHAnsi"/>
          <w:b/>
        </w:rPr>
        <w:t xml:space="preserve">, </w:t>
      </w:r>
      <w:hyperlink r:id="rId15" w:history="1">
        <w:r w:rsidRPr="00B55FE4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 xml:space="preserve"> W. Jasiński</w:t>
        </w:r>
      </w:hyperlink>
      <w:r w:rsidRPr="00B55FE4">
        <w:rPr>
          <w:rFonts w:asciiTheme="minorHAnsi" w:hAnsiTheme="minorHAnsi" w:cstheme="minorHAnsi"/>
          <w:b/>
        </w:rPr>
        <w:t>, Postępowania karne, C.H. Beck, Warszawa 2018</w:t>
      </w:r>
    </w:p>
    <w:p w:rsidR="005548ED" w:rsidRDefault="005548ED" w:rsidP="005548ED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K. Dutka, H. Paluszkiewicz, </w:t>
      </w:r>
      <w:r>
        <w:rPr>
          <w:rFonts w:asciiTheme="minorHAnsi" w:hAnsiTheme="minorHAnsi" w:cstheme="minorHAnsi"/>
          <w:b/>
          <w:i/>
        </w:rPr>
        <w:t xml:space="preserve">Postępowanie karne, </w:t>
      </w:r>
      <w:r>
        <w:rPr>
          <w:rFonts w:asciiTheme="minorHAnsi" w:hAnsiTheme="minorHAnsi" w:cstheme="minorHAnsi"/>
          <w:b/>
        </w:rPr>
        <w:t>Wolters Kluwer, Warszawa 2018</w:t>
      </w:r>
    </w:p>
    <w:p w:rsidR="005548ED" w:rsidRPr="00B55FE4" w:rsidRDefault="005548ED" w:rsidP="005548ED">
      <w:pPr>
        <w:rPr>
          <w:rFonts w:asciiTheme="minorHAnsi" w:hAnsiTheme="minorHAnsi" w:cstheme="minorHAnsi"/>
          <w:b/>
        </w:rPr>
      </w:pPr>
      <w:r w:rsidRPr="005548ED">
        <w:rPr>
          <w:rFonts w:asciiTheme="minorHAnsi" w:hAnsiTheme="minorHAnsi" w:cstheme="minorHAnsi"/>
          <w:b/>
          <w:highlight w:val="yellow"/>
        </w:rPr>
        <w:t>Tam znajdziecie i omówienie tematu świadek koronny i granic prawa do obrony oskarżonego!</w:t>
      </w:r>
    </w:p>
    <w:p w:rsidR="005548ED" w:rsidRDefault="005548ED" w:rsidP="005548ED">
      <w:pPr>
        <w:rPr>
          <w:rFonts w:ascii="Arial" w:hAnsi="Arial" w:cs="Arial"/>
          <w:color w:val="333333"/>
          <w:sz w:val="18"/>
          <w:szCs w:val="18"/>
        </w:rPr>
      </w:pPr>
    </w:p>
    <w:p w:rsidR="00B55FE4" w:rsidRPr="000F4916" w:rsidRDefault="000F4916">
      <w:pPr>
        <w:rPr>
          <w:rFonts w:ascii="Arial" w:hAnsi="Arial" w:cs="Arial"/>
          <w:b/>
          <w:color w:val="333333"/>
          <w:sz w:val="18"/>
          <w:szCs w:val="18"/>
        </w:rPr>
      </w:pPr>
      <w:r w:rsidRPr="000F4916">
        <w:rPr>
          <w:rStyle w:val="ng-scope1"/>
          <w:rFonts w:ascii="Arial" w:hAnsi="Arial" w:cs="Arial"/>
          <w:b/>
          <w:color w:val="333333"/>
          <w:sz w:val="18"/>
          <w:szCs w:val="18"/>
        </w:rPr>
        <w:lastRenderedPageBreak/>
        <w:t xml:space="preserve">I </w:t>
      </w:r>
      <w:r w:rsidR="00192171" w:rsidRPr="000F4916">
        <w:rPr>
          <w:b/>
        </w:rPr>
        <w:t>Komentarze</w:t>
      </w:r>
      <w:r w:rsidR="005548ED" w:rsidRPr="000F4916">
        <w:rPr>
          <w:b/>
        </w:rPr>
        <w:t>:</w:t>
      </w:r>
    </w:p>
    <w:p w:rsidR="00B55FE4" w:rsidRDefault="00192171">
      <w:r>
        <w:t xml:space="preserve"> pod. red. J. Skorupki, </w:t>
      </w:r>
    </w:p>
    <w:tbl>
      <w:tblPr>
        <w:tblW w:w="4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490"/>
      </w:tblGrid>
      <w:tr w:rsidR="00B55FE4" w:rsidTr="00B55FE4">
        <w:tc>
          <w:tcPr>
            <w:tcW w:w="0" w:type="auto"/>
            <w:shd w:val="clear" w:color="auto" w:fill="auto"/>
            <w:vAlign w:val="center"/>
            <w:hideMark/>
          </w:tcPr>
          <w:p w:rsidR="00B55FE4" w:rsidRDefault="00B55FE4">
            <w:pPr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65200" cy="1428750"/>
                  <wp:effectExtent l="0" t="0" r="6350" b="0"/>
                  <wp:docPr id="3" name="Obraz 3" descr="https://sip.legalis.pl/seam/resource/products/BOOK.260177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p.legalis.pl/seam/resource/products/BOOK.2601775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B55FE4" w:rsidRDefault="00B55FE4">
            <w:pPr>
              <w:rPr>
                <w:rStyle w:val="Hipercze"/>
                <w:color w:val="000000"/>
                <w:u w:val="none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&amp;quot" w:hAnsi="&amp;quot"/>
                <w:color w:val="333333"/>
                <w:sz w:val="21"/>
                <w:szCs w:val="21"/>
              </w:rPr>
              <w:instrText xml:space="preserve"> HYPERLINK "https://sip.legalis.pl/document-view.seam?documentId=mjxw62zogi3damjxg42tqmi&amp;tocid=mjxw62zogi3damjxg42tqmi&amp;rowIndex=-1" </w:instrText>
            </w:r>
            <w:r>
              <w:rPr>
                <w:rFonts w:ascii="&amp;quot" w:hAnsi="&amp;quot"/>
                <w:color w:val="333333"/>
                <w:sz w:val="21"/>
                <w:szCs w:val="21"/>
              </w:rPr>
              <w:fldChar w:fldCharType="separate"/>
            </w:r>
          </w:p>
          <w:p w:rsidR="00B55FE4" w:rsidRDefault="00B55FE4">
            <w:pPr>
              <w:pStyle w:val="toccitationtitle"/>
              <w:spacing w:before="42" w:beforeAutospacing="0" w:after="42" w:afterAutospacing="0"/>
              <w:rPr>
                <w:b/>
                <w:bCs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Kodeks postępowania karnego. Komentarz</w:t>
            </w:r>
          </w:p>
          <w:p w:rsidR="00B55FE4" w:rsidRDefault="00B55FE4">
            <w:pPr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fldChar w:fldCharType="end"/>
            </w:r>
          </w:p>
        </w:tc>
      </w:tr>
    </w:tbl>
    <w:p w:rsidR="00B55FE4" w:rsidRDefault="00B55FE4"/>
    <w:p w:rsidR="00B55FE4" w:rsidRDefault="00192171">
      <w:r>
        <w:t xml:space="preserve">pod. red. D. Świeckiego, </w:t>
      </w:r>
    </w:p>
    <w:p w:rsidR="00B55FE4" w:rsidRDefault="00B55FE4">
      <w:r>
        <w:rPr>
          <w:noProof/>
        </w:rPr>
        <w:drawing>
          <wp:inline distT="0" distB="0" distL="0" distR="0">
            <wp:extent cx="1092200" cy="1263650"/>
            <wp:effectExtent l="0" t="0" r="0" b="0"/>
            <wp:docPr id="5" name="Obraz 5" descr="Kodeks postÄpowania karnego. Komentarz do zmian, Barbara Augustyn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deks postÄpowania karnego. Komentarz do zmian, Barbara Augustynia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E4" w:rsidRDefault="00192171">
      <w:r>
        <w:t>pod. red. A. Sakowicz</w:t>
      </w:r>
      <w:r w:rsidR="00B55FE4">
        <w:t xml:space="preserve">a - </w:t>
      </w:r>
    </w:p>
    <w:tbl>
      <w:tblPr>
        <w:tblW w:w="4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80"/>
      </w:tblGrid>
      <w:tr w:rsidR="00B55FE4" w:rsidTr="00B55FE4">
        <w:tc>
          <w:tcPr>
            <w:tcW w:w="0" w:type="auto"/>
            <w:shd w:val="clear" w:color="auto" w:fill="auto"/>
            <w:vAlign w:val="center"/>
            <w:hideMark/>
          </w:tcPr>
          <w:p w:rsidR="00B55FE4" w:rsidRDefault="00B55FE4">
            <w:pPr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noProof/>
                <w:color w:val="333333"/>
                <w:sz w:val="21"/>
                <w:szCs w:val="21"/>
              </w:rPr>
              <w:drawing>
                <wp:inline distT="0" distB="0" distL="0" distR="0" wp14:anchorId="53A44190" wp14:editId="5F74139E">
                  <wp:extent cx="914400" cy="1428750"/>
                  <wp:effectExtent l="0" t="0" r="0" b="0"/>
                  <wp:docPr id="2" name="Obraz 2" descr="https://sip.legalis.pl/seam/resource/products/BOOK.2601935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p.legalis.pl/seam/resource/products/BOOK.2601935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B55FE4" w:rsidRPr="00B55FE4" w:rsidRDefault="00B55FE4">
            <w:pPr>
              <w:rPr>
                <w:color w:val="333333"/>
              </w:rPr>
            </w:pPr>
          </w:p>
          <w:p w:rsidR="00B55FE4" w:rsidRDefault="00B55FE4">
            <w:pPr>
              <w:pStyle w:val="toccitationtitle"/>
              <w:spacing w:before="42" w:beforeAutospacing="0" w:after="42" w:afterAutospacing="0"/>
              <w:rPr>
                <w:b/>
                <w:bCs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Kodeks postępowania karnego. Kome</w:t>
            </w:r>
            <w:r>
              <w:rPr>
                <w:b/>
                <w:bCs/>
              </w:rPr>
              <w:t>ntarz</w:t>
            </w:r>
          </w:p>
          <w:p w:rsidR="00B55FE4" w:rsidRDefault="00B55FE4">
            <w:pPr>
              <w:rPr>
                <w:rFonts w:ascii="&amp;quot" w:hAnsi="&amp;quot"/>
                <w:color w:val="333333"/>
                <w:sz w:val="21"/>
                <w:szCs w:val="21"/>
              </w:rPr>
            </w:pPr>
          </w:p>
        </w:tc>
      </w:tr>
    </w:tbl>
    <w:p w:rsidR="00192171" w:rsidRDefault="00B55FE4">
      <w:r>
        <w:t xml:space="preserve">Inne komentarze na półce z </w:t>
      </w:r>
      <w:proofErr w:type="spellStart"/>
      <w:r>
        <w:t>litertaurą</w:t>
      </w:r>
      <w:proofErr w:type="spellEnd"/>
      <w:r>
        <w:t xml:space="preserve"> do procesu karnego!</w:t>
      </w:r>
    </w:p>
    <w:p w:rsidR="00192171" w:rsidRDefault="00192171"/>
    <w:p w:rsidR="00141F49" w:rsidRPr="00C3207E" w:rsidRDefault="00141F49">
      <w:pPr>
        <w:rPr>
          <w:rFonts w:asciiTheme="minorHAnsi" w:hAnsiTheme="minorHAnsi" w:cstheme="minorHAnsi"/>
        </w:rPr>
      </w:pPr>
      <w:bookmarkStart w:id="2" w:name="_GoBack"/>
      <w:bookmarkEnd w:id="2"/>
    </w:p>
    <w:p w:rsidR="00B55FE4" w:rsidRDefault="00B55FE4"/>
    <w:sectPr w:rsidR="00B55FE4" w:rsidSect="00AA4F53"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6A6"/>
    <w:multiLevelType w:val="hybridMultilevel"/>
    <w:tmpl w:val="2A4AB24E"/>
    <w:lvl w:ilvl="0" w:tplc="F7DA0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E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4F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A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3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8B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6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A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0406B6"/>
    <w:multiLevelType w:val="multilevel"/>
    <w:tmpl w:val="4BEA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CAC"/>
    <w:multiLevelType w:val="hybridMultilevel"/>
    <w:tmpl w:val="4DB80558"/>
    <w:lvl w:ilvl="0" w:tplc="830CD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0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2A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8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8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AE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E5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65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AE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3C6B24"/>
    <w:multiLevelType w:val="hybridMultilevel"/>
    <w:tmpl w:val="04546A0C"/>
    <w:lvl w:ilvl="0" w:tplc="C600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0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4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4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A9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A5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03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B41BF4"/>
    <w:multiLevelType w:val="hybridMultilevel"/>
    <w:tmpl w:val="232CBB22"/>
    <w:lvl w:ilvl="0" w:tplc="875C6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A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AC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E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2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8E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EE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8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87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BD6B13"/>
    <w:multiLevelType w:val="hybridMultilevel"/>
    <w:tmpl w:val="27CAF038"/>
    <w:lvl w:ilvl="0" w:tplc="3FFE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C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28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C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4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2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6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02372D"/>
    <w:multiLevelType w:val="hybridMultilevel"/>
    <w:tmpl w:val="CA467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5079"/>
    <w:multiLevelType w:val="hybridMultilevel"/>
    <w:tmpl w:val="D72E7E26"/>
    <w:lvl w:ilvl="0" w:tplc="111E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E0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24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64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41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C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8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4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7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71"/>
    <w:rsid w:val="00035616"/>
    <w:rsid w:val="000C3A91"/>
    <w:rsid w:val="000F4916"/>
    <w:rsid w:val="00141F49"/>
    <w:rsid w:val="00192171"/>
    <w:rsid w:val="00356B88"/>
    <w:rsid w:val="00424C61"/>
    <w:rsid w:val="004E1B58"/>
    <w:rsid w:val="005548ED"/>
    <w:rsid w:val="00917755"/>
    <w:rsid w:val="00AA4F53"/>
    <w:rsid w:val="00B16031"/>
    <w:rsid w:val="00B55FE4"/>
    <w:rsid w:val="00BD6ADF"/>
    <w:rsid w:val="00C3207E"/>
    <w:rsid w:val="00D449EF"/>
    <w:rsid w:val="00E03C49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5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171"/>
    <w:rPr>
      <w:color w:val="0000FF" w:themeColor="hyperlink"/>
      <w:u w:val="single"/>
    </w:rPr>
  </w:style>
  <w:style w:type="character" w:customStyle="1" w:styleId="commentary-citation-line">
    <w:name w:val="commentary-citation-line"/>
    <w:basedOn w:val="Domylnaczcionkaakapitu"/>
    <w:rsid w:val="00192171"/>
  </w:style>
  <w:style w:type="character" w:customStyle="1" w:styleId="commentary-creator">
    <w:name w:val="commentary-creator"/>
    <w:basedOn w:val="Domylnaczcionkaakapitu"/>
    <w:rsid w:val="00192171"/>
  </w:style>
  <w:style w:type="paragraph" w:customStyle="1" w:styleId="results-group-document">
    <w:name w:val="results-group-document"/>
    <w:basedOn w:val="Normalny"/>
    <w:rsid w:val="00192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171"/>
    <w:rPr>
      <w:rFonts w:ascii="Tahoma" w:hAnsi="Tahoma" w:cs="Tahoma"/>
      <w:sz w:val="16"/>
      <w:szCs w:val="16"/>
      <w:lang w:eastAsia="pl-PL"/>
    </w:rPr>
  </w:style>
  <w:style w:type="paragraph" w:customStyle="1" w:styleId="toccitationtitle">
    <w:name w:val="toc_citation_title"/>
    <w:basedOn w:val="Normalny"/>
    <w:rsid w:val="00B5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5FE4"/>
    <w:rPr>
      <w:rFonts w:eastAsia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B5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g-scope">
    <w:name w:val="ng-scope"/>
    <w:basedOn w:val="Normalny"/>
    <w:rsid w:val="00554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8ED"/>
    <w:rPr>
      <w:b/>
      <w:bCs/>
    </w:rPr>
  </w:style>
  <w:style w:type="character" w:customStyle="1" w:styleId="ng-binding">
    <w:name w:val="ng-binding"/>
    <w:basedOn w:val="Domylnaczcionkaakapitu"/>
    <w:rsid w:val="005548ED"/>
  </w:style>
  <w:style w:type="character" w:customStyle="1" w:styleId="ng-scope1">
    <w:name w:val="ng-scope1"/>
    <w:basedOn w:val="Domylnaczcionkaakapitu"/>
    <w:rsid w:val="005548ED"/>
  </w:style>
  <w:style w:type="character" w:customStyle="1" w:styleId="type">
    <w:name w:val="type"/>
    <w:basedOn w:val="Domylnaczcionkaakapitu"/>
    <w:rsid w:val="005548ED"/>
  </w:style>
  <w:style w:type="character" w:styleId="Uwydatnienie">
    <w:name w:val="Emphasis"/>
    <w:basedOn w:val="Domylnaczcionkaakapitu"/>
    <w:uiPriority w:val="20"/>
    <w:qFormat/>
    <w:rsid w:val="005548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5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171"/>
    <w:rPr>
      <w:color w:val="0000FF" w:themeColor="hyperlink"/>
      <w:u w:val="single"/>
    </w:rPr>
  </w:style>
  <w:style w:type="character" w:customStyle="1" w:styleId="commentary-citation-line">
    <w:name w:val="commentary-citation-line"/>
    <w:basedOn w:val="Domylnaczcionkaakapitu"/>
    <w:rsid w:val="00192171"/>
  </w:style>
  <w:style w:type="character" w:customStyle="1" w:styleId="commentary-creator">
    <w:name w:val="commentary-creator"/>
    <w:basedOn w:val="Domylnaczcionkaakapitu"/>
    <w:rsid w:val="00192171"/>
  </w:style>
  <w:style w:type="paragraph" w:customStyle="1" w:styleId="results-group-document">
    <w:name w:val="results-group-document"/>
    <w:basedOn w:val="Normalny"/>
    <w:rsid w:val="00192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171"/>
    <w:rPr>
      <w:rFonts w:ascii="Tahoma" w:hAnsi="Tahoma" w:cs="Tahoma"/>
      <w:sz w:val="16"/>
      <w:szCs w:val="16"/>
      <w:lang w:eastAsia="pl-PL"/>
    </w:rPr>
  </w:style>
  <w:style w:type="paragraph" w:customStyle="1" w:styleId="toccitationtitle">
    <w:name w:val="toc_citation_title"/>
    <w:basedOn w:val="Normalny"/>
    <w:rsid w:val="00B5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5FE4"/>
    <w:rPr>
      <w:rFonts w:eastAsia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B5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g-scope">
    <w:name w:val="ng-scope"/>
    <w:basedOn w:val="Normalny"/>
    <w:rsid w:val="00554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8ED"/>
    <w:rPr>
      <w:b/>
      <w:bCs/>
    </w:rPr>
  </w:style>
  <w:style w:type="character" w:customStyle="1" w:styleId="ng-binding">
    <w:name w:val="ng-binding"/>
    <w:basedOn w:val="Domylnaczcionkaakapitu"/>
    <w:rsid w:val="005548ED"/>
  </w:style>
  <w:style w:type="character" w:customStyle="1" w:styleId="ng-scope1">
    <w:name w:val="ng-scope1"/>
    <w:basedOn w:val="Domylnaczcionkaakapitu"/>
    <w:rsid w:val="005548ED"/>
  </w:style>
  <w:style w:type="character" w:customStyle="1" w:styleId="type">
    <w:name w:val="type"/>
    <w:basedOn w:val="Domylnaczcionkaakapitu"/>
    <w:rsid w:val="005548ED"/>
  </w:style>
  <w:style w:type="character" w:styleId="Uwydatnienie">
    <w:name w:val="Emphasis"/>
    <w:basedOn w:val="Domylnaczcionkaakapitu"/>
    <w:uiPriority w:val="20"/>
    <w:qFormat/>
    <w:rsid w:val="00554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2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3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979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0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7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www.google.com/url?sa=i&amp;rct=j&amp;q=&amp;esrc=s&amp;source=images&amp;cd=&amp;cad=rja&amp;uact=8&amp;ved=2ahUKEwjGyPCWi6fhAhXOL1AKHbqZDYwQjRx6BAgBEAU&amp;url=https%3A%2F%2Fmerlin.pl%2Fkodeks-postepowania-karnego-oraz-ustawa-o-swiadku-koronnym-komentarz-tomasz-grzegorczyk%2F2532646%2F&amp;psig=AOvVaw1UQMyg9VGmfPpRs8roCIXo&amp;ust=1553939824976389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wo.uni.wroc.pl/node/276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iegarnia.beck.pl/autorzy/wojciech-jasinski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www.ksiegarnia.beck.pl/autorzy/lukasz-chojni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2019-03-29T10:13:00Z</dcterms:created>
  <dcterms:modified xsi:type="dcterms:W3CDTF">2019-03-29T10:13:00Z</dcterms:modified>
</cp:coreProperties>
</file>