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CAB" w:rsidRDefault="008B1CAB" w:rsidP="008B1CAB">
      <w:pPr>
        <w:pStyle w:val="Nagwek1"/>
        <w:jc w:val="center"/>
        <w:rPr>
          <w:rFonts w:ascii="Times New Roman" w:hAnsi="Times New Roman" w:cs="Times New Roman"/>
        </w:rPr>
      </w:pPr>
      <w:r w:rsidRPr="008B1CAB">
        <w:rPr>
          <w:rFonts w:ascii="Times New Roman" w:hAnsi="Times New Roman" w:cs="Times New Roman"/>
        </w:rPr>
        <w:t>Zagadnienia na kolokwium- gr. 2 SSA III</w:t>
      </w:r>
    </w:p>
    <w:p w:rsidR="008B1CAB" w:rsidRPr="008B1CAB" w:rsidRDefault="008B1CAB" w:rsidP="008B1CAB"/>
    <w:p w:rsidR="00D701A6" w:rsidRPr="008B1CAB" w:rsidRDefault="008B1CAB" w:rsidP="008B1C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CAB">
        <w:rPr>
          <w:rFonts w:ascii="Times New Roman" w:hAnsi="Times New Roman" w:cs="Times New Roman"/>
          <w:sz w:val="24"/>
          <w:szCs w:val="24"/>
        </w:rPr>
        <w:t>Cele procesu karnego.</w:t>
      </w:r>
    </w:p>
    <w:p w:rsidR="008B1CAB" w:rsidRPr="008B1CAB" w:rsidRDefault="008B1CAB" w:rsidP="008B1C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CAB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8B1CAB">
        <w:rPr>
          <w:rFonts w:ascii="Times New Roman" w:hAnsi="Times New Roman" w:cs="Times New Roman"/>
          <w:sz w:val="24"/>
          <w:szCs w:val="24"/>
        </w:rPr>
        <w:t>zczególne rodzaje przesłuchania.</w:t>
      </w:r>
    </w:p>
    <w:p w:rsidR="008B1CAB" w:rsidRDefault="008B1CAB" w:rsidP="008B1C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CAB">
        <w:rPr>
          <w:rFonts w:ascii="Times New Roman" w:hAnsi="Times New Roman" w:cs="Times New Roman"/>
          <w:sz w:val="24"/>
          <w:szCs w:val="24"/>
        </w:rPr>
        <w:t>Prawo do odmowy składania zeznań, odmowy odpowiedzi na pytanie oraz złożenia wniosku o zwolnienie z obowiązku zeznawania lub odpowiedzi na pytanie</w:t>
      </w:r>
      <w:r>
        <w:rPr>
          <w:rFonts w:ascii="Times New Roman" w:hAnsi="Times New Roman" w:cs="Times New Roman"/>
          <w:sz w:val="24"/>
          <w:szCs w:val="24"/>
        </w:rPr>
        <w:t xml:space="preserve"> (art. 182 k.p.k., 183 k.p.k., 185 k.p.k.).</w:t>
      </w:r>
    </w:p>
    <w:p w:rsidR="008B1CAB" w:rsidRDefault="008B1CAB" w:rsidP="008B1C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Biegły w procesie karnym- powołanie, opinia.</w:t>
      </w:r>
    </w:p>
    <w:p w:rsidR="008B1CAB" w:rsidRDefault="008B1CAB" w:rsidP="008B1C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Dyrektywy stosowania środków zapobiegawczych.</w:t>
      </w:r>
    </w:p>
    <w:p w:rsidR="008B1CAB" w:rsidRDefault="008B1CAB" w:rsidP="008B1C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postępowania przygotowawczego.</w:t>
      </w:r>
    </w:p>
    <w:p w:rsidR="008B1CAB" w:rsidRDefault="008B1CAB" w:rsidP="008B1C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sprawdzające, a czynności w niezbędnym zakresie.</w:t>
      </w:r>
    </w:p>
    <w:p w:rsidR="008B1CAB" w:rsidRDefault="008B1CAB" w:rsidP="008B1C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i przebieg przewodu sądowego.</w:t>
      </w:r>
    </w:p>
    <w:p w:rsidR="008B1CAB" w:rsidRDefault="008B1CAB" w:rsidP="008B1C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Subsydiarny akt oskarżenia.</w:t>
      </w:r>
    </w:p>
    <w:p w:rsidR="008B1CAB" w:rsidRDefault="008B1CAB" w:rsidP="008B1C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Skazanie bez przeprowadzenia rozprawy (art. 335 k.p.k.).</w:t>
      </w:r>
    </w:p>
    <w:p w:rsidR="008B1CAB" w:rsidRDefault="008B1CAB" w:rsidP="008B1C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środków odwoławczych.</w:t>
      </w:r>
    </w:p>
    <w:p w:rsidR="008B1CAB" w:rsidRPr="008B1CAB" w:rsidRDefault="008B1CAB" w:rsidP="008B1CA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środka odwoławczego.</w:t>
      </w:r>
    </w:p>
    <w:sectPr w:rsidR="008B1CAB" w:rsidRPr="008B1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82627"/>
    <w:multiLevelType w:val="hybridMultilevel"/>
    <w:tmpl w:val="DD744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AB"/>
    <w:rsid w:val="00270606"/>
    <w:rsid w:val="0068390B"/>
    <w:rsid w:val="006D1895"/>
    <w:rsid w:val="008B1CAB"/>
    <w:rsid w:val="00B40A68"/>
    <w:rsid w:val="00D7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E10D"/>
  <w15:chartTrackingRefBased/>
  <w15:docId w15:val="{0A7A848C-CCC0-47F9-B3A8-9C3B81DB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1C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C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B1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2019-04-08T16:57:00Z</dcterms:created>
  <dcterms:modified xsi:type="dcterms:W3CDTF">2019-04-08T17:04:00Z</dcterms:modified>
</cp:coreProperties>
</file>