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DE" w:rsidRPr="00CB7DDE" w:rsidRDefault="00CB7DDE">
      <w:pPr>
        <w:rPr>
          <w:rFonts w:ascii="Arial" w:hAnsi="Arial" w:cs="Arial"/>
          <w:sz w:val="28"/>
          <w:szCs w:val="28"/>
          <w:u w:val="single"/>
        </w:rPr>
      </w:pPr>
      <w:r w:rsidRPr="00CB7DDE">
        <w:rPr>
          <w:rFonts w:ascii="Arial" w:hAnsi="Arial" w:cs="Arial"/>
          <w:sz w:val="28"/>
          <w:szCs w:val="28"/>
          <w:u w:val="single"/>
        </w:rPr>
        <w:t xml:space="preserve">ZAKRES ZAGADNIEŃ EGZAMINACYJNYCH </w:t>
      </w:r>
    </w:p>
    <w:p w:rsidR="00AE62CF" w:rsidRDefault="00CB7D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CB7DDE">
        <w:rPr>
          <w:rFonts w:ascii="Arial" w:hAnsi="Arial" w:cs="Arial"/>
          <w:sz w:val="28"/>
          <w:szCs w:val="28"/>
        </w:rPr>
        <w:t>Geneza postępowania podatkowego i jego miejsce w systemie prawa podatkowego</w:t>
      </w:r>
    </w:p>
    <w:p w:rsidR="00CB7DDE" w:rsidRDefault="00CB7DDE" w:rsidP="00CB7D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215D29">
        <w:rPr>
          <w:rFonts w:ascii="Arial" w:hAnsi="Arial" w:cs="Arial"/>
          <w:sz w:val="28"/>
          <w:szCs w:val="28"/>
        </w:rPr>
        <w:t xml:space="preserve"> C</w:t>
      </w:r>
      <w:r w:rsidRPr="00CB7DDE">
        <w:rPr>
          <w:rFonts w:ascii="Arial" w:hAnsi="Arial" w:cs="Arial"/>
          <w:sz w:val="28"/>
          <w:szCs w:val="28"/>
        </w:rPr>
        <w:t>zynności sprawdzające</w:t>
      </w:r>
      <w:r w:rsidR="00215D29">
        <w:rPr>
          <w:rFonts w:ascii="Arial" w:hAnsi="Arial" w:cs="Arial"/>
          <w:sz w:val="28"/>
          <w:szCs w:val="28"/>
        </w:rPr>
        <w:t xml:space="preserve"> i kontrola podatkowa</w:t>
      </w:r>
    </w:p>
    <w:p w:rsidR="00CB7DDE" w:rsidRDefault="00CB7DDE" w:rsidP="00CB7D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CB7DDE">
        <w:rPr>
          <w:rFonts w:ascii="Arial" w:hAnsi="Arial" w:cs="Arial"/>
          <w:sz w:val="28"/>
          <w:szCs w:val="28"/>
        </w:rPr>
        <w:t xml:space="preserve">Postępowanie podatkowe w rozumieniu Działu IV Ordynacji podatkowej: </w:t>
      </w:r>
      <w:r w:rsidR="00A9042D">
        <w:rPr>
          <w:rFonts w:ascii="Arial" w:hAnsi="Arial" w:cs="Arial"/>
          <w:sz w:val="28"/>
          <w:szCs w:val="28"/>
        </w:rPr>
        <w:t xml:space="preserve">zasady ogólne, </w:t>
      </w:r>
      <w:r w:rsidRPr="00CB7DDE">
        <w:rPr>
          <w:rFonts w:ascii="Arial" w:hAnsi="Arial" w:cs="Arial"/>
          <w:sz w:val="28"/>
          <w:szCs w:val="28"/>
        </w:rPr>
        <w:t>wszczęcie postępowania, strony, przebieg postępowania</w:t>
      </w:r>
    </w:p>
    <w:p w:rsidR="00CB7DDE" w:rsidRDefault="00CB7DDE" w:rsidP="00CB7D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CB7DDE">
        <w:rPr>
          <w:rFonts w:ascii="Arial" w:hAnsi="Arial" w:cs="Arial"/>
          <w:sz w:val="28"/>
          <w:szCs w:val="28"/>
        </w:rPr>
        <w:t>Dowody w postępowaniu podatkowym</w:t>
      </w:r>
    </w:p>
    <w:p w:rsidR="00CB7DDE" w:rsidRDefault="00CB7DDE" w:rsidP="00CB7D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CB7DDE">
        <w:rPr>
          <w:rFonts w:ascii="Arial" w:hAnsi="Arial" w:cs="Arial"/>
          <w:sz w:val="28"/>
          <w:szCs w:val="28"/>
        </w:rPr>
        <w:t>Decyzje, postanowienia, postępowanie odwoławcze</w:t>
      </w:r>
    </w:p>
    <w:p w:rsidR="00A9042D" w:rsidRDefault="00A9042D" w:rsidP="00CB7D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Wykonanie decyzji, wznowienie postępowania, stwierdzenie nieważności decyzji, uchylenie lub zmiana decyzji ostatecznej</w:t>
      </w:r>
    </w:p>
    <w:p w:rsidR="00A9042D" w:rsidRDefault="00A9042D" w:rsidP="00CB7D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Postępowanie podatkowe w przypadku unikania opodatkowania</w:t>
      </w:r>
    </w:p>
    <w:p w:rsidR="00CB7DDE" w:rsidRDefault="00CB7DDE" w:rsidP="00CB7D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CB7DDE">
        <w:rPr>
          <w:rFonts w:ascii="Arial" w:hAnsi="Arial" w:cs="Arial"/>
          <w:sz w:val="28"/>
          <w:szCs w:val="28"/>
        </w:rPr>
        <w:t>Aspekty praktyczne wszczęcia i przebiegu postępowania podatkowego</w:t>
      </w:r>
    </w:p>
    <w:p w:rsidR="00CB7DDE" w:rsidRDefault="00CB7DDE" w:rsidP="00CB7D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CB7DDE">
        <w:rPr>
          <w:rFonts w:ascii="Arial" w:hAnsi="Arial" w:cs="Arial"/>
          <w:sz w:val="28"/>
          <w:szCs w:val="28"/>
        </w:rPr>
        <w:t>Postępowania szczególne (w sprawie odpowiedzialności podatkowej, w sprawie ulg w spłacie zobowiązań podatkowych, związane z wykonaniem zobowiązań podatkowych) i ich specyfika</w:t>
      </w:r>
    </w:p>
    <w:p w:rsidR="00B8384F" w:rsidRDefault="00B8384F" w:rsidP="00CB7DDE">
      <w:pPr>
        <w:rPr>
          <w:rFonts w:ascii="Arial" w:hAnsi="Arial" w:cs="Arial"/>
          <w:sz w:val="28"/>
          <w:szCs w:val="28"/>
        </w:rPr>
      </w:pPr>
    </w:p>
    <w:p w:rsidR="003E7EC1" w:rsidRPr="00A569F7" w:rsidRDefault="0080687D" w:rsidP="00CB7DD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ZASADY PRZEPROWA</w:t>
      </w:r>
      <w:r w:rsidR="00B52EB8" w:rsidRPr="003E7EC1">
        <w:rPr>
          <w:rFonts w:ascii="Arial" w:hAnsi="Arial" w:cs="Arial"/>
          <w:sz w:val="28"/>
          <w:szCs w:val="28"/>
          <w:u w:val="single"/>
        </w:rPr>
        <w:t>D</w:t>
      </w:r>
      <w:r>
        <w:rPr>
          <w:rFonts w:ascii="Arial" w:hAnsi="Arial" w:cs="Arial"/>
          <w:sz w:val="28"/>
          <w:szCs w:val="28"/>
          <w:u w:val="single"/>
        </w:rPr>
        <w:t>Z</w:t>
      </w:r>
      <w:r w:rsidR="00B52EB8" w:rsidRPr="003E7EC1">
        <w:rPr>
          <w:rFonts w:ascii="Arial" w:hAnsi="Arial" w:cs="Arial"/>
          <w:sz w:val="28"/>
          <w:szCs w:val="28"/>
          <w:u w:val="single"/>
        </w:rPr>
        <w:t>ENIA EGZAMINU</w:t>
      </w:r>
    </w:p>
    <w:p w:rsidR="003E7EC1" w:rsidRDefault="003E7EC1" w:rsidP="00CB7D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egzamin jest przeprowadzony w formie pisemnej</w:t>
      </w:r>
    </w:p>
    <w:p w:rsidR="00DA1A54" w:rsidRDefault="00BF197C" w:rsidP="00CB7D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egzamin trwa 6</w:t>
      </w:r>
      <w:r w:rsidR="00DA1A54">
        <w:rPr>
          <w:rFonts w:ascii="Arial" w:hAnsi="Arial" w:cs="Arial"/>
          <w:sz w:val="28"/>
          <w:szCs w:val="28"/>
        </w:rPr>
        <w:t>0 minut</w:t>
      </w:r>
    </w:p>
    <w:p w:rsidR="003E7EC1" w:rsidRDefault="003E7EC1" w:rsidP="00CB7D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egzamin składa się z dwóch części </w:t>
      </w:r>
    </w:p>
    <w:p w:rsidR="003E7EC1" w:rsidRDefault="00BF197C" w:rsidP="00CB7D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a) części testowej</w:t>
      </w:r>
    </w:p>
    <w:p w:rsidR="003E7EC1" w:rsidRDefault="003E7EC1" w:rsidP="00CB7D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b) części </w:t>
      </w:r>
      <w:proofErr w:type="spellStart"/>
      <w:r>
        <w:rPr>
          <w:rFonts w:ascii="Arial" w:hAnsi="Arial" w:cs="Arial"/>
          <w:sz w:val="28"/>
          <w:szCs w:val="28"/>
        </w:rPr>
        <w:t>kazusowej</w:t>
      </w:r>
      <w:proofErr w:type="spellEnd"/>
    </w:p>
    <w:p w:rsidR="003E7EC1" w:rsidRDefault="003E7EC1" w:rsidP="00CB7D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BF197C">
        <w:rPr>
          <w:rFonts w:ascii="Arial" w:hAnsi="Arial" w:cs="Arial"/>
          <w:sz w:val="28"/>
          <w:szCs w:val="28"/>
        </w:rPr>
        <w:t>w części testowej jest</w:t>
      </w:r>
      <w:r w:rsidR="00E9501A">
        <w:rPr>
          <w:rFonts w:ascii="Arial" w:hAnsi="Arial" w:cs="Arial"/>
          <w:sz w:val="28"/>
          <w:szCs w:val="28"/>
        </w:rPr>
        <w:t xml:space="preserve"> </w:t>
      </w:r>
      <w:r w:rsidR="00BF197C">
        <w:rPr>
          <w:rFonts w:ascii="Arial" w:hAnsi="Arial" w:cs="Arial"/>
          <w:sz w:val="28"/>
          <w:szCs w:val="28"/>
        </w:rPr>
        <w:t>sformułowanych 30 pytań</w:t>
      </w:r>
    </w:p>
    <w:p w:rsidR="00A569F7" w:rsidRDefault="00E9501A" w:rsidP="00CB7D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w części </w:t>
      </w:r>
      <w:proofErr w:type="spellStart"/>
      <w:r>
        <w:rPr>
          <w:rFonts w:ascii="Arial" w:hAnsi="Arial" w:cs="Arial"/>
          <w:sz w:val="28"/>
          <w:szCs w:val="28"/>
        </w:rPr>
        <w:t>kazusowej</w:t>
      </w:r>
      <w:proofErr w:type="spellEnd"/>
      <w:r>
        <w:rPr>
          <w:rFonts w:ascii="Arial" w:hAnsi="Arial" w:cs="Arial"/>
          <w:sz w:val="28"/>
          <w:szCs w:val="28"/>
        </w:rPr>
        <w:t xml:space="preserve"> są sformułowane dwa kazusy</w:t>
      </w:r>
    </w:p>
    <w:p w:rsidR="000F7DD2" w:rsidRDefault="000F7DD2" w:rsidP="000F7DD2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- skala ocen w zależności od uzyskanych punktów (za każdą poprawną odpowiedź z testu można uzyskać 1 punkt, odpowiedź za kazusy</w:t>
      </w:r>
      <w:r w:rsidR="00BF197C">
        <w:rPr>
          <w:rFonts w:ascii="Arial" w:hAnsi="Arial" w:cs="Arial"/>
          <w:sz w:val="28"/>
          <w:szCs w:val="28"/>
        </w:rPr>
        <w:t xml:space="preserve"> jest oceniana w skali od 1 do 10</w:t>
      </w:r>
      <w:r>
        <w:rPr>
          <w:rFonts w:ascii="Arial" w:hAnsi="Arial" w:cs="Arial"/>
          <w:sz w:val="28"/>
          <w:szCs w:val="28"/>
        </w:rPr>
        <w:t xml:space="preserve"> punktów)</w:t>
      </w:r>
    </w:p>
    <w:p w:rsidR="000F7DD2" w:rsidRPr="00C71C9D" w:rsidRDefault="001A1E87" w:rsidP="000F7DD2">
      <w:pPr>
        <w:rPr>
          <w:rFonts w:ascii="Arial" w:hAnsi="Arial" w:cs="Arial"/>
          <w:sz w:val="28"/>
          <w:szCs w:val="28"/>
        </w:rPr>
      </w:pPr>
      <w:r w:rsidRPr="00C71C9D">
        <w:rPr>
          <w:rFonts w:ascii="Arial" w:hAnsi="Arial" w:cs="Arial"/>
          <w:sz w:val="28"/>
          <w:szCs w:val="28"/>
        </w:rPr>
        <w:t>25-29</w:t>
      </w:r>
      <w:r w:rsidR="000F7DD2" w:rsidRPr="00C71C9D">
        <w:rPr>
          <w:rFonts w:ascii="Arial" w:hAnsi="Arial" w:cs="Arial"/>
          <w:sz w:val="28"/>
          <w:szCs w:val="28"/>
        </w:rPr>
        <w:t xml:space="preserve"> - ocena dostateczna</w:t>
      </w:r>
    </w:p>
    <w:p w:rsidR="000F7DD2" w:rsidRPr="00C71C9D" w:rsidRDefault="001A1E87" w:rsidP="000F7DD2">
      <w:pPr>
        <w:rPr>
          <w:rFonts w:ascii="Arial" w:hAnsi="Arial" w:cs="Arial"/>
          <w:sz w:val="28"/>
          <w:szCs w:val="28"/>
        </w:rPr>
      </w:pPr>
      <w:r w:rsidRPr="00C71C9D">
        <w:rPr>
          <w:rFonts w:ascii="Arial" w:hAnsi="Arial" w:cs="Arial"/>
          <w:sz w:val="28"/>
          <w:szCs w:val="28"/>
        </w:rPr>
        <w:t>30-34</w:t>
      </w:r>
      <w:r w:rsidR="000F7DD2" w:rsidRPr="00C71C9D">
        <w:rPr>
          <w:rFonts w:ascii="Arial" w:hAnsi="Arial" w:cs="Arial"/>
          <w:sz w:val="28"/>
          <w:szCs w:val="28"/>
        </w:rPr>
        <w:t xml:space="preserve"> -ocena plus dostateczna</w:t>
      </w:r>
    </w:p>
    <w:p w:rsidR="000F7DD2" w:rsidRPr="00C71C9D" w:rsidRDefault="001A1E87" w:rsidP="000F7DD2">
      <w:pPr>
        <w:rPr>
          <w:rFonts w:ascii="Arial" w:hAnsi="Arial" w:cs="Arial"/>
          <w:sz w:val="28"/>
          <w:szCs w:val="28"/>
        </w:rPr>
      </w:pPr>
      <w:r w:rsidRPr="00C71C9D">
        <w:rPr>
          <w:rFonts w:ascii="Arial" w:hAnsi="Arial" w:cs="Arial"/>
          <w:sz w:val="28"/>
          <w:szCs w:val="28"/>
        </w:rPr>
        <w:lastRenderedPageBreak/>
        <w:t>35-39</w:t>
      </w:r>
      <w:r w:rsidR="000F7DD2" w:rsidRPr="00C71C9D">
        <w:rPr>
          <w:rFonts w:ascii="Arial" w:hAnsi="Arial" w:cs="Arial"/>
          <w:sz w:val="28"/>
          <w:szCs w:val="28"/>
        </w:rPr>
        <w:t xml:space="preserve"> – ocena dobra</w:t>
      </w:r>
    </w:p>
    <w:p w:rsidR="000F7DD2" w:rsidRPr="00C71C9D" w:rsidRDefault="001A1E87" w:rsidP="000F7DD2">
      <w:pPr>
        <w:rPr>
          <w:rFonts w:ascii="Arial" w:hAnsi="Arial" w:cs="Arial"/>
          <w:sz w:val="28"/>
          <w:szCs w:val="28"/>
        </w:rPr>
      </w:pPr>
      <w:r w:rsidRPr="00C71C9D">
        <w:rPr>
          <w:rFonts w:ascii="Arial" w:hAnsi="Arial" w:cs="Arial"/>
          <w:sz w:val="28"/>
          <w:szCs w:val="28"/>
        </w:rPr>
        <w:t>40- 44</w:t>
      </w:r>
      <w:r w:rsidR="000F7DD2" w:rsidRPr="00C71C9D">
        <w:rPr>
          <w:rFonts w:ascii="Arial" w:hAnsi="Arial" w:cs="Arial"/>
          <w:sz w:val="28"/>
          <w:szCs w:val="28"/>
        </w:rPr>
        <w:t xml:space="preserve"> – ocena plus dobra</w:t>
      </w:r>
    </w:p>
    <w:p w:rsidR="000F7DD2" w:rsidRDefault="001A1E87" w:rsidP="000F7DD2">
      <w:pPr>
        <w:rPr>
          <w:rFonts w:ascii="Arial" w:hAnsi="Arial" w:cs="Arial"/>
          <w:sz w:val="28"/>
          <w:szCs w:val="28"/>
        </w:rPr>
      </w:pPr>
      <w:r w:rsidRPr="00C71C9D">
        <w:rPr>
          <w:rFonts w:ascii="Arial" w:hAnsi="Arial" w:cs="Arial"/>
          <w:sz w:val="28"/>
          <w:szCs w:val="28"/>
        </w:rPr>
        <w:t>45</w:t>
      </w:r>
      <w:r w:rsidR="000F7DD2" w:rsidRPr="00C71C9D">
        <w:rPr>
          <w:rFonts w:ascii="Arial" w:hAnsi="Arial" w:cs="Arial"/>
          <w:sz w:val="28"/>
          <w:szCs w:val="28"/>
        </w:rPr>
        <w:t>-50 – ocena bardzo dobra</w:t>
      </w:r>
    </w:p>
    <w:p w:rsidR="000F7DD2" w:rsidRDefault="000F7DD2" w:rsidP="000F7DD2">
      <w:pPr>
        <w:rPr>
          <w:rFonts w:ascii="Arial" w:hAnsi="Arial" w:cs="Arial"/>
          <w:sz w:val="28"/>
          <w:szCs w:val="28"/>
        </w:rPr>
      </w:pPr>
    </w:p>
    <w:p w:rsidR="000F7DD2" w:rsidRDefault="000F7DD2" w:rsidP="00CB7DDE">
      <w:pPr>
        <w:rPr>
          <w:rFonts w:ascii="Arial" w:hAnsi="Arial" w:cs="Arial"/>
          <w:sz w:val="28"/>
          <w:szCs w:val="28"/>
        </w:rPr>
      </w:pPr>
    </w:p>
    <w:p w:rsidR="00E9501A" w:rsidRDefault="00E9501A" w:rsidP="00CB7DDE">
      <w:pPr>
        <w:rPr>
          <w:rFonts w:ascii="Arial" w:hAnsi="Arial" w:cs="Arial"/>
          <w:sz w:val="28"/>
          <w:szCs w:val="28"/>
        </w:rPr>
      </w:pPr>
    </w:p>
    <w:p w:rsidR="00E9501A" w:rsidRPr="00CB7DDE" w:rsidRDefault="00E9501A" w:rsidP="00CB7DDE">
      <w:pPr>
        <w:rPr>
          <w:rFonts w:ascii="Arial" w:hAnsi="Arial" w:cs="Arial"/>
          <w:sz w:val="28"/>
          <w:szCs w:val="28"/>
        </w:rPr>
      </w:pPr>
    </w:p>
    <w:sectPr w:rsidR="00E9501A" w:rsidRPr="00CB7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49"/>
    <w:rsid w:val="00050749"/>
    <w:rsid w:val="000F7DD2"/>
    <w:rsid w:val="0016120F"/>
    <w:rsid w:val="001A1E87"/>
    <w:rsid w:val="00215D29"/>
    <w:rsid w:val="003E7EC1"/>
    <w:rsid w:val="0080687D"/>
    <w:rsid w:val="00A569F7"/>
    <w:rsid w:val="00A9042D"/>
    <w:rsid w:val="00AE62CF"/>
    <w:rsid w:val="00B52EB8"/>
    <w:rsid w:val="00B8384F"/>
    <w:rsid w:val="00BF197C"/>
    <w:rsid w:val="00C71C9D"/>
    <w:rsid w:val="00CB7DDE"/>
    <w:rsid w:val="00DA1A54"/>
    <w:rsid w:val="00E9501A"/>
    <w:rsid w:val="00FB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438A"/>
  <w15:chartTrackingRefBased/>
  <w15:docId w15:val="{4D022337-7EAA-4B6D-B11F-085DBA9D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Borszowski</dc:creator>
  <cp:keywords/>
  <dc:description/>
  <cp:lastModifiedBy>Paweł Borszowski</cp:lastModifiedBy>
  <cp:revision>2</cp:revision>
  <dcterms:created xsi:type="dcterms:W3CDTF">2024-12-18T16:54:00Z</dcterms:created>
  <dcterms:modified xsi:type="dcterms:W3CDTF">2024-12-18T16:54:00Z</dcterms:modified>
</cp:coreProperties>
</file>